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08" w:rsidRPr="009B6508" w:rsidRDefault="009B6508" w:rsidP="00EF4306">
      <w:pPr>
        <w:kinsoku w:val="0"/>
        <w:overflowPunct w:val="0"/>
        <w:autoSpaceDE w:val="0"/>
        <w:autoSpaceDN w:val="0"/>
        <w:adjustRightInd w:val="0"/>
        <w:spacing w:after="0" w:line="284" w:lineRule="exact"/>
        <w:rPr>
          <w:rFonts w:ascii="Century Gothic" w:hAnsi="Century Gothic" w:cs="Century Gothic"/>
          <w:color w:val="231F20"/>
          <w:sz w:val="24"/>
          <w:szCs w:val="24"/>
        </w:rPr>
      </w:pPr>
      <w:r w:rsidRPr="009B6508">
        <w:rPr>
          <w:rFonts w:ascii="Century Gothic" w:hAnsi="Century Gothic" w:cs="Century Gothic"/>
          <w:color w:val="231F20"/>
          <w:sz w:val="24"/>
          <w:szCs w:val="24"/>
          <w:u w:val="single"/>
        </w:rPr>
        <w:t>Structure and Function of the Sorghum Model in APSIM</w:t>
      </w:r>
    </w:p>
    <w:p w:rsidR="009B6508"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18"/>
          <w:szCs w:val="18"/>
        </w:rPr>
      </w:pPr>
    </w:p>
    <w:p w:rsidR="009B6508" w:rsidRPr="009B6508"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The APSIM-sorghum model is based on a framework of the physiological determinants of crop growth and development (Charles-Edwards, 1982) and is focused at organ scale. It generates the phenotype of a crop as a consequence of underlying physiological processes (Fig. 1) by using the concept of supply and demand balances for light, carbon, water, and nitrogen (Hammer et al., 2001b). The approach is focused around quantifying capture and use of radiation, water, and nitrogen within a framework that predicts the dynamics of crop development and the realized growth of major organs based on their potential growth and whether the supply of carbohydrate and nitrogen can satisfy this potential. Demand for resources is defined by potential organ growth and potential supply by resource capture (</w:t>
      </w:r>
      <w:proofErr w:type="spellStart"/>
      <w:r w:rsidRPr="009B6508">
        <w:rPr>
          <w:rFonts w:ascii="Palatino Linotype" w:hAnsi="Palatino Linotype" w:cs="Palatino Linotype"/>
          <w:color w:val="231F20"/>
          <w:sz w:val="20"/>
          <w:szCs w:val="20"/>
        </w:rPr>
        <w:t>Monteith</w:t>
      </w:r>
      <w:proofErr w:type="spellEnd"/>
      <w:r w:rsidRPr="009B6508">
        <w:rPr>
          <w:rFonts w:ascii="Palatino Linotype" w:hAnsi="Palatino Linotype" w:cs="Palatino Linotype"/>
          <w:color w:val="231F20"/>
          <w:sz w:val="20"/>
          <w:szCs w:val="20"/>
        </w:rPr>
        <w:t xml:space="preserve">, 1977; </w:t>
      </w:r>
      <w:proofErr w:type="spellStart"/>
      <w:r w:rsidRPr="009B6508">
        <w:rPr>
          <w:rFonts w:ascii="Palatino Linotype" w:hAnsi="Palatino Linotype" w:cs="Palatino Linotype"/>
          <w:color w:val="231F20"/>
          <w:sz w:val="20"/>
          <w:szCs w:val="20"/>
        </w:rPr>
        <w:t>Passioura</w:t>
      </w:r>
      <w:proofErr w:type="spellEnd"/>
      <w:r w:rsidRPr="009B6508">
        <w:rPr>
          <w:rFonts w:ascii="Palatino Linotype" w:hAnsi="Palatino Linotype" w:cs="Palatino Linotype"/>
          <w:color w:val="231F20"/>
          <w:sz w:val="20"/>
          <w:szCs w:val="20"/>
        </w:rPr>
        <w:t xml:space="preserve">, 1983; </w:t>
      </w:r>
      <w:proofErr w:type="spellStart"/>
      <w:r w:rsidRPr="009B6508">
        <w:rPr>
          <w:rFonts w:ascii="Palatino Linotype" w:hAnsi="Palatino Linotype" w:cs="Palatino Linotype"/>
          <w:color w:val="231F20"/>
          <w:sz w:val="20"/>
          <w:szCs w:val="20"/>
        </w:rPr>
        <w:t>Monteith</w:t>
      </w:r>
      <w:proofErr w:type="spellEnd"/>
      <w:r w:rsidRPr="009B6508">
        <w:rPr>
          <w:rFonts w:ascii="Palatino Linotype" w:hAnsi="Palatino Linotype" w:cs="Palatino Linotype"/>
          <w:color w:val="231F20"/>
          <w:sz w:val="20"/>
          <w:szCs w:val="20"/>
        </w:rPr>
        <w:t xml:space="preserve">, 1986) (Fig. 1). Arbitration rules and organ level responses are invoked when resource capture cannot satisfy demand. The APSIM-sorghum model retains some features and concepts of earlier models (Sinclair, 1986; Rosenthal et al., 1989; Birch et al., 1990; Sinclair and Amir, 1992; Chapman et al., 1993; Hammer and </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xml:space="preserve">, 1994), but has been adapted and redesigned to generate a more explanatory approach to the </w:t>
      </w:r>
      <w:proofErr w:type="spellStart"/>
      <w:r w:rsidRPr="009B6508">
        <w:rPr>
          <w:rFonts w:ascii="Palatino Linotype" w:hAnsi="Palatino Linotype" w:cs="Palatino Linotype"/>
          <w:color w:val="231F20"/>
          <w:sz w:val="20"/>
          <w:szCs w:val="20"/>
        </w:rPr>
        <w:t>modeling</w:t>
      </w:r>
      <w:proofErr w:type="spellEnd"/>
      <w:r w:rsidRPr="009B6508">
        <w:rPr>
          <w:rFonts w:ascii="Palatino Linotype" w:hAnsi="Palatino Linotype" w:cs="Palatino Linotype"/>
          <w:color w:val="231F20"/>
          <w:sz w:val="20"/>
          <w:szCs w:val="20"/>
        </w:rPr>
        <w:t xml:space="preserve"> of the underlying physiology (Hammer et al., 2006).</w:t>
      </w:r>
    </w:p>
    <w:p w:rsidR="009B6508" w:rsidRPr="009B6508"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APSIM-sorghum operates via the dynamic interaction of crop development, crop growth, and crop nitrogen with soil and weather attributes (Fig. 1). Predictive schemas can be separated into crop growth and development dynamics (Fig. 1a) and crop nitrogen dynamics (Fig. 1b) for purposes of description, but the interactions between these major components are critical.</w:t>
      </w:r>
    </w:p>
    <w:p w:rsidR="009B6508" w:rsidRPr="009B6508" w:rsidRDefault="009B6508" w:rsidP="00EF4306">
      <w:pPr>
        <w:kinsoku w:val="0"/>
        <w:overflowPunct w:val="0"/>
        <w:autoSpaceDE w:val="0"/>
        <w:autoSpaceDN w:val="0"/>
        <w:adjustRightInd w:val="0"/>
        <w:spacing w:before="127" w:after="0" w:line="240" w:lineRule="auto"/>
        <w:outlineLvl w:val="0"/>
        <w:rPr>
          <w:rFonts w:ascii="Century Gothic" w:hAnsi="Century Gothic" w:cs="Century Gothic"/>
          <w:color w:val="231F20"/>
        </w:rPr>
      </w:pPr>
      <w:r w:rsidRPr="009B6508">
        <w:rPr>
          <w:rFonts w:ascii="Century Gothic" w:hAnsi="Century Gothic" w:cs="Century Gothic"/>
          <w:color w:val="231F20"/>
        </w:rPr>
        <w:t>Crop Growth and Development Dynamics</w:t>
      </w:r>
    </w:p>
    <w:p w:rsidR="00EF4306" w:rsidRDefault="00EF4306"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18"/>
          <w:szCs w:val="18"/>
        </w:rPr>
      </w:pPr>
    </w:p>
    <w:p w:rsidR="009B6508" w:rsidRPr="00EF4306"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Phenology is simulated through a number of development stages by using a </w:t>
      </w:r>
      <w:proofErr w:type="spellStart"/>
      <w:r w:rsidRPr="009B6508">
        <w:rPr>
          <w:rFonts w:ascii="Palatino Linotype" w:hAnsi="Palatino Linotype" w:cs="Palatino Linotype"/>
          <w:color w:val="231F20"/>
          <w:sz w:val="20"/>
          <w:szCs w:val="20"/>
        </w:rPr>
        <w:t>ther</w:t>
      </w:r>
      <w:proofErr w:type="spellEnd"/>
      <w:r w:rsidRPr="009B6508">
        <w:rPr>
          <w:rFonts w:ascii="Palatino Linotype" w:hAnsi="Palatino Linotype" w:cs="Palatino Linotype"/>
          <w:color w:val="231F20"/>
          <w:sz w:val="20"/>
          <w:szCs w:val="20"/>
        </w:rPr>
        <w:t xml:space="preserve"> mal time approach (</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xml:space="preserve"> and Carberry, 1990; Hammer and </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xml:space="preserve">, 1994), with the temperature response characterized by a base (Tb), optimum (Topt), and maximum (Tm) temperature. Hammer et al. (1993) and Carberry et al. (1993) reported values of Tb, Topt, and Tm for sorghum of 11, 32, and 42°C, respectively. The thermal time target for the phase between emergence and panicle initiation is also a function of day length (Hammer et al., 1989; Ravi Kumar et al., 2009), and its duration, when divided by the </w:t>
      </w:r>
      <w:proofErr w:type="spellStart"/>
      <w:r w:rsidRPr="009B6508">
        <w:rPr>
          <w:rFonts w:ascii="Palatino Linotype" w:hAnsi="Palatino Linotype" w:cs="Palatino Linotype"/>
          <w:color w:val="231F20"/>
          <w:sz w:val="20"/>
          <w:szCs w:val="20"/>
        </w:rPr>
        <w:t>plastochron</w:t>
      </w:r>
      <w:proofErr w:type="spellEnd"/>
      <w:r w:rsidRPr="009B6508">
        <w:rPr>
          <w:rFonts w:ascii="Palatino Linotype" w:hAnsi="Palatino Linotype" w:cs="Palatino Linotype"/>
          <w:color w:val="231F20"/>
          <w:sz w:val="20"/>
          <w:szCs w:val="20"/>
        </w:rPr>
        <w:t xml:space="preserve"> (°Cd per leaf), determines total leaf </w:t>
      </w:r>
      <w:r w:rsidRPr="009B6508">
        <w:rPr>
          <w:rFonts w:ascii="Palatino Linotype" w:hAnsi="Palatino Linotype" w:cs="Palatino Linotype"/>
          <w:color w:val="231F20"/>
          <w:sz w:val="20"/>
          <w:szCs w:val="20"/>
        </w:rPr>
        <w:lastRenderedPageBreak/>
        <w:t xml:space="preserve">number once an allowance for leaf initials in the embryo has been included. Total leaf number multiplied by the </w:t>
      </w:r>
      <w:proofErr w:type="spellStart"/>
      <w:r w:rsidRPr="009B6508">
        <w:rPr>
          <w:rFonts w:ascii="Palatino Linotype" w:hAnsi="Palatino Linotype" w:cs="Palatino Linotype"/>
          <w:color w:val="231F20"/>
          <w:sz w:val="20"/>
          <w:szCs w:val="20"/>
        </w:rPr>
        <w:t>phyllochron</w:t>
      </w:r>
      <w:proofErr w:type="spellEnd"/>
      <w:r w:rsidRPr="009B6508">
        <w:rPr>
          <w:rFonts w:ascii="Palatino Linotype" w:hAnsi="Palatino Linotype" w:cs="Palatino Linotype"/>
          <w:color w:val="231F20"/>
          <w:sz w:val="20"/>
          <w:szCs w:val="20"/>
        </w:rPr>
        <w:t xml:space="preserve"> (°Cd per leaf) determines the thermal time to reach flag leaf stage, which is thus an emergent property of the</w:t>
      </w:r>
      <w:r w:rsidRPr="00EF4306">
        <w:rPr>
          <w:rFonts w:ascii="Palatino Linotype" w:hAnsi="Palatino Linotype" w:cs="Palatino Linotype"/>
          <w:color w:val="231F20"/>
          <w:sz w:val="20"/>
          <w:szCs w:val="20"/>
        </w:rPr>
        <w:t xml:space="preserve"> </w:t>
      </w:r>
      <w:proofErr w:type="spellStart"/>
      <w:r w:rsidRPr="009B6508">
        <w:rPr>
          <w:rFonts w:ascii="Palatino Linotype" w:hAnsi="Palatino Linotype" w:cs="Palatino Linotype"/>
          <w:color w:val="231F20"/>
          <w:sz w:val="20"/>
          <w:szCs w:val="20"/>
        </w:rPr>
        <w:t>the</w:t>
      </w:r>
      <w:proofErr w:type="spellEnd"/>
      <w:r w:rsidRPr="009B6508">
        <w:rPr>
          <w:rFonts w:ascii="Palatino Linotype" w:hAnsi="Palatino Linotype" w:cs="Palatino Linotype"/>
          <w:color w:val="231F20"/>
          <w:sz w:val="20"/>
          <w:szCs w:val="20"/>
        </w:rPr>
        <w:t xml:space="preserve"> stages of flag leaf, </w:t>
      </w:r>
      <w:proofErr w:type="spellStart"/>
      <w:r w:rsidRPr="009B6508">
        <w:rPr>
          <w:rFonts w:ascii="Palatino Linotype" w:hAnsi="Palatino Linotype" w:cs="Palatino Linotype"/>
          <w:color w:val="231F20"/>
          <w:sz w:val="20"/>
          <w:szCs w:val="20"/>
        </w:rPr>
        <w:t>anthesis</w:t>
      </w:r>
      <w:proofErr w:type="spellEnd"/>
      <w:r w:rsidRPr="009B6508">
        <w:rPr>
          <w:rFonts w:ascii="Palatino Linotype" w:hAnsi="Palatino Linotype" w:cs="Palatino Linotype"/>
          <w:color w:val="231F20"/>
          <w:sz w:val="20"/>
          <w:szCs w:val="20"/>
        </w:rPr>
        <w:t>, and</w:t>
      </w:r>
      <w:r w:rsidRPr="00EF4306">
        <w:rPr>
          <w:rFonts w:ascii="Palatino Linotype" w:hAnsi="Palatino Linotype" w:cs="Palatino Linotype"/>
          <w:color w:val="231F20"/>
          <w:sz w:val="20"/>
          <w:szCs w:val="20"/>
        </w:rPr>
        <w:t xml:space="preserve"> </w:t>
      </w:r>
      <w:r w:rsidRPr="009B6508">
        <w:rPr>
          <w:rFonts w:ascii="Palatino Linotype" w:hAnsi="Palatino Linotype" w:cs="Palatino Linotype"/>
          <w:color w:val="231F20"/>
          <w:sz w:val="20"/>
          <w:szCs w:val="20"/>
        </w:rPr>
        <w:t>start and end of grain filling are also simulated through thermal time targets</w:t>
      </w:r>
      <w:r w:rsidRPr="00EF4306">
        <w:rPr>
          <w:rFonts w:ascii="Palatino Linotype" w:hAnsi="Palatino Linotype" w:cs="Palatino Linotype"/>
          <w:color w:val="231F20"/>
          <w:sz w:val="20"/>
          <w:szCs w:val="20"/>
        </w:rPr>
        <w:t xml:space="preserve"> </w:t>
      </w:r>
      <w:r w:rsidRPr="009B6508">
        <w:rPr>
          <w:rFonts w:ascii="Palatino Linotype" w:hAnsi="Palatino Linotype" w:cs="Palatino Linotype"/>
          <w:color w:val="231F20"/>
          <w:sz w:val="20"/>
          <w:szCs w:val="20"/>
        </w:rPr>
        <w:t>(</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xml:space="preserve"> and Carberry, 1990; Hammer and </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1994; Ravi Kumar et al., 2009). Drought stress and N stress can both reduce the leaf appearance rate and hence delay phenology during the vegetative stages (</w:t>
      </w:r>
      <w:proofErr w:type="spellStart"/>
      <w:r w:rsidRPr="009B6508">
        <w:rPr>
          <w:rFonts w:ascii="Palatino Linotype" w:hAnsi="Palatino Linotype" w:cs="Palatino Linotype"/>
          <w:color w:val="231F20"/>
          <w:sz w:val="20"/>
          <w:szCs w:val="20"/>
        </w:rPr>
        <w:t>Craufurd</w:t>
      </w:r>
      <w:proofErr w:type="spellEnd"/>
      <w:r w:rsidRPr="009B6508">
        <w:rPr>
          <w:rFonts w:ascii="Palatino Linotype" w:hAnsi="Palatino Linotype" w:cs="Palatino Linotype"/>
          <w:color w:val="231F20"/>
          <w:sz w:val="20"/>
          <w:szCs w:val="20"/>
        </w:rPr>
        <w:t xml:space="preserve"> et al., 1993; van Oosterom et al., 2010a).</w:t>
      </w:r>
    </w:p>
    <w:p w:rsidR="009B6508" w:rsidRPr="009B6508"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Canopy development is simulated on a whole plant basis through a relation- ship between total plant leaf area (TPLA) and thermal time. The TPLA integrates the number of fully expanded leaves, their individual size, and tiller number, and includes an adjustment for the area of expanding leaves (Hammer et al., 1993). The object-oriented design of the software provides flexibility to readily model canopy development by using other options, such as via leaf size distribution (Carberry et al., 1993; van Oosterom et al., 2001), or from extension rate of each leaf (Chenu et al., 2008). The number of fully expanded leaves is the product of thermal time elapsed since emergence and the leaf appearance rate. Actual crop leaf area is the product of plant density and leaf area per plant. Green leaf area index (LAI) is the difference between the total plant leaf area and the senesced leaf area. Under drought</w:t>
      </w:r>
      <w:r w:rsidRPr="00EF4306">
        <w:rPr>
          <w:rFonts w:ascii="Palatino Linotype" w:hAnsi="Palatino Linotype" w:cs="Palatino Linotype"/>
          <w:color w:val="231F20"/>
          <w:sz w:val="20"/>
          <w:szCs w:val="20"/>
        </w:rPr>
        <w:t xml:space="preserve"> s</w:t>
      </w:r>
      <w:r w:rsidRPr="009B6508">
        <w:rPr>
          <w:rFonts w:ascii="Palatino Linotype" w:hAnsi="Palatino Linotype" w:cs="Palatino Linotype"/>
          <w:color w:val="231F20"/>
          <w:sz w:val="20"/>
          <w:szCs w:val="20"/>
        </w:rPr>
        <w:t>tress, the crop will initially cease expanding new leaves, thus reducing transpiration demand, and then commence senescing leaves until demand for transpiration no longer exceeds supply from uptake (Hammer et al., 2001b).</w:t>
      </w:r>
    </w:p>
    <w:p w:rsidR="009B6508" w:rsidRPr="009B6508"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Aboveground biomass accumulation is simulated as the minimum of light- limited or water-limited growth. In the absence of water limitation, biomass accumulation is the product of the amount of intercepted radiation (IR) and its conversion efficiency, the radiation use efficiency (RUE). The fraction of incident radiation intercepted is a function of the LAI and the canopy extinction coefficient (k), which is a measure of canopy structure (Lafarge and Hammer, 2002). The effects of N supply on crop growth are implicitly incorporated in this approach. Nitrogen limitation will reduce leaf area growth and hence LAI and IR. It can also reduce RUE, which is a function of the N status of the leaves (</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xml:space="preserve"> and Sinclair, 1994; Sinclair and Amir, 1992). Sinclair and </w:t>
      </w:r>
      <w:proofErr w:type="spellStart"/>
      <w:r w:rsidRPr="009B6508">
        <w:rPr>
          <w:rFonts w:ascii="Palatino Linotype" w:hAnsi="Palatino Linotype" w:cs="Palatino Linotype"/>
          <w:color w:val="231F20"/>
          <w:sz w:val="20"/>
          <w:szCs w:val="20"/>
        </w:rPr>
        <w:t>Muchow</w:t>
      </w:r>
      <w:proofErr w:type="spellEnd"/>
      <w:r w:rsidRPr="009B6508">
        <w:rPr>
          <w:rFonts w:ascii="Palatino Linotype" w:hAnsi="Palatino Linotype" w:cs="Palatino Linotype"/>
          <w:color w:val="231F20"/>
          <w:sz w:val="20"/>
          <w:szCs w:val="20"/>
        </w:rPr>
        <w:t xml:space="preserve"> (1998) reviewed studies that had measured RUE in many crops and noted a consistent </w:t>
      </w:r>
      <w:r w:rsidRPr="009B6508">
        <w:rPr>
          <w:rFonts w:ascii="Palatino Linotype" w:hAnsi="Palatino Linotype" w:cs="Palatino Linotype"/>
          <w:color w:val="231F20"/>
          <w:sz w:val="20"/>
          <w:szCs w:val="20"/>
        </w:rPr>
        <w:lastRenderedPageBreak/>
        <w:t xml:space="preserve">value of 1.25 g MJ−1 for triple-dwarf sorghum under optimum growing conditions. The flexibility of the object-oriented template also allows simulation of crop biomass accumulation via diurnal canopy photosynthesis models where this is required, as in the stud- </w:t>
      </w:r>
      <w:proofErr w:type="spellStart"/>
      <w:r w:rsidRPr="009B6508">
        <w:rPr>
          <w:rFonts w:ascii="Palatino Linotype" w:hAnsi="Palatino Linotype" w:cs="Palatino Linotype"/>
          <w:color w:val="231F20"/>
          <w:sz w:val="20"/>
          <w:szCs w:val="20"/>
        </w:rPr>
        <w:t>ies</w:t>
      </w:r>
      <w:proofErr w:type="spellEnd"/>
      <w:r w:rsidRPr="009B6508">
        <w:rPr>
          <w:rFonts w:ascii="Palatino Linotype" w:hAnsi="Palatino Linotype" w:cs="Palatino Linotype"/>
          <w:color w:val="231F20"/>
          <w:sz w:val="20"/>
          <w:szCs w:val="20"/>
        </w:rPr>
        <w:t xml:space="preserve"> of Sinclair et al. (2005) and Hammer et al. (2009).</w:t>
      </w:r>
    </w:p>
    <w:p w:rsidR="009B6508" w:rsidRPr="009B6508" w:rsidRDefault="009B6508" w:rsidP="009B6508">
      <w:pPr>
        <w:kinsoku w:val="0"/>
        <w:overflowPunct w:val="0"/>
        <w:autoSpaceDE w:val="0"/>
        <w:autoSpaceDN w:val="0"/>
        <w:adjustRightInd w:val="0"/>
        <w:spacing w:before="17" w:after="0" w:line="218" w:lineRule="auto"/>
        <w:ind w:left="39" w:right="360" w:firstLine="373"/>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Under water limitation, aboveground biomass accumulation is the product of realized transpiration and its conversion efficiency, biomass produced per unit of water transpired, or transpiration efficiency (TE). It is necessary to adjust TE to allow for the prevailing </w:t>
      </w:r>
      <w:proofErr w:type="spellStart"/>
      <w:r w:rsidRPr="009B6508">
        <w:rPr>
          <w:rFonts w:ascii="Palatino Linotype" w:hAnsi="Palatino Linotype" w:cs="Palatino Linotype"/>
          <w:color w:val="231F20"/>
          <w:sz w:val="20"/>
          <w:szCs w:val="20"/>
        </w:rPr>
        <w:t>vapor</w:t>
      </w:r>
      <w:proofErr w:type="spellEnd"/>
      <w:r w:rsidRPr="009B6508">
        <w:rPr>
          <w:rFonts w:ascii="Palatino Linotype" w:hAnsi="Palatino Linotype" w:cs="Palatino Linotype"/>
          <w:color w:val="231F20"/>
          <w:sz w:val="20"/>
          <w:szCs w:val="20"/>
        </w:rPr>
        <w:t xml:space="preserve"> pressure deficit (</w:t>
      </w:r>
      <w:proofErr w:type="spellStart"/>
      <w:r w:rsidRPr="009B6508">
        <w:rPr>
          <w:rFonts w:ascii="Palatino Linotype" w:hAnsi="Palatino Linotype" w:cs="Palatino Linotype"/>
          <w:color w:val="231F20"/>
          <w:sz w:val="20"/>
          <w:szCs w:val="20"/>
        </w:rPr>
        <w:t>vpd</w:t>
      </w:r>
      <w:proofErr w:type="spellEnd"/>
      <w:r w:rsidRPr="009B6508">
        <w:rPr>
          <w:rFonts w:ascii="Palatino Linotype" w:hAnsi="Palatino Linotype" w:cs="Palatino Linotype"/>
          <w:color w:val="231F20"/>
          <w:sz w:val="20"/>
          <w:szCs w:val="20"/>
        </w:rPr>
        <w:t xml:space="preserve">) (Tanner and Sinclair, 1983; </w:t>
      </w:r>
      <w:proofErr w:type="spellStart"/>
      <w:r w:rsidRPr="009B6508">
        <w:rPr>
          <w:rFonts w:ascii="Palatino Linotype" w:hAnsi="Palatino Linotype" w:cs="Palatino Linotype"/>
          <w:color w:val="231F20"/>
          <w:sz w:val="20"/>
          <w:szCs w:val="20"/>
        </w:rPr>
        <w:t>Kemanian</w:t>
      </w:r>
      <w:proofErr w:type="spellEnd"/>
      <w:r w:rsidRPr="009B6508">
        <w:rPr>
          <w:rFonts w:ascii="Palatino Linotype" w:hAnsi="Palatino Linotype" w:cs="Palatino Linotype"/>
          <w:color w:val="231F20"/>
          <w:sz w:val="20"/>
          <w:szCs w:val="20"/>
        </w:rPr>
        <w:t xml:space="preserve"> et al., 2005). Numerous studies in sorghum (Tanner and Sinclair, 1983; Hammer et al., 1997) have found a standard value of 9 Pa for the TE coefficient in sorghum, so that at a </w:t>
      </w:r>
      <w:proofErr w:type="spellStart"/>
      <w:r w:rsidRPr="009B6508">
        <w:rPr>
          <w:rFonts w:ascii="Palatino Linotype" w:hAnsi="Palatino Linotype" w:cs="Palatino Linotype"/>
          <w:color w:val="231F20"/>
          <w:sz w:val="20"/>
          <w:szCs w:val="20"/>
        </w:rPr>
        <w:t>vpd</w:t>
      </w:r>
      <w:proofErr w:type="spellEnd"/>
      <w:r w:rsidRPr="009B6508">
        <w:rPr>
          <w:rFonts w:ascii="Palatino Linotype" w:hAnsi="Palatino Linotype" w:cs="Palatino Linotype"/>
          <w:color w:val="231F20"/>
          <w:sz w:val="20"/>
          <w:szCs w:val="20"/>
        </w:rPr>
        <w:t xml:space="preserve"> of 2 </w:t>
      </w:r>
      <w:proofErr w:type="spellStart"/>
      <w:r w:rsidRPr="009B6508">
        <w:rPr>
          <w:rFonts w:ascii="Palatino Linotype" w:hAnsi="Palatino Linotype" w:cs="Palatino Linotype"/>
          <w:color w:val="231F20"/>
          <w:sz w:val="20"/>
          <w:szCs w:val="20"/>
        </w:rPr>
        <w:t>kPa</w:t>
      </w:r>
      <w:proofErr w:type="spellEnd"/>
      <w:r w:rsidRPr="009B6508">
        <w:rPr>
          <w:rFonts w:ascii="Palatino Linotype" w:hAnsi="Palatino Linotype" w:cs="Palatino Linotype"/>
          <w:color w:val="231F20"/>
          <w:sz w:val="20"/>
          <w:szCs w:val="20"/>
        </w:rPr>
        <w:t xml:space="preserve"> a TE of 4.5 gm−2 mm−1 results. The water sup- ply accessible to the plant depends on the effective rooting depth and the rate at which soil water can be extracted from the soil by the roots. The potential extraction rate is related to the soil water content via an exponential function, parameterized via an extraction decay constant (kl) that incorporates effects of both soil hydraulic conductivity and root length density on water uptake (</w:t>
      </w:r>
      <w:proofErr w:type="spellStart"/>
      <w:r w:rsidRPr="009B6508">
        <w:rPr>
          <w:rFonts w:ascii="Palatino Linotype" w:hAnsi="Palatino Linotype" w:cs="Palatino Linotype"/>
          <w:color w:val="231F20"/>
          <w:sz w:val="20"/>
          <w:szCs w:val="20"/>
        </w:rPr>
        <w:t>Passioura</w:t>
      </w:r>
      <w:proofErr w:type="spellEnd"/>
      <w:r w:rsidRPr="009B6508">
        <w:rPr>
          <w:rFonts w:ascii="Palatino Linotype" w:hAnsi="Palatino Linotype" w:cs="Palatino Linotype"/>
          <w:color w:val="231F20"/>
          <w:sz w:val="20"/>
          <w:szCs w:val="20"/>
        </w:rPr>
        <w:t xml:space="preserve">, 1983; </w:t>
      </w:r>
      <w:proofErr w:type="spellStart"/>
      <w:r w:rsidRPr="009B6508">
        <w:rPr>
          <w:rFonts w:ascii="Palatino Linotype" w:hAnsi="Palatino Linotype" w:cs="Palatino Linotype"/>
          <w:color w:val="231F20"/>
          <w:sz w:val="20"/>
          <w:szCs w:val="20"/>
        </w:rPr>
        <w:t>Monteith</w:t>
      </w:r>
      <w:proofErr w:type="spellEnd"/>
      <w:r w:rsidRPr="009B6508">
        <w:rPr>
          <w:rFonts w:ascii="Palatino Linotype" w:hAnsi="Palatino Linotype" w:cs="Palatino Linotype"/>
          <w:color w:val="231F20"/>
          <w:sz w:val="20"/>
          <w:szCs w:val="20"/>
        </w:rPr>
        <w:t xml:space="preserve">, 1986; Robertson et al., 1993; Hammer et al., 2001b). Water extraction occurs from multiple layers, and the total extraction is the sum of that calculated for individual layers. As RUE and TE are based on aboveground bio- mass only, root mass is not explicitly </w:t>
      </w:r>
      <w:proofErr w:type="spellStart"/>
      <w:r w:rsidRPr="009B6508">
        <w:rPr>
          <w:rFonts w:ascii="Palatino Linotype" w:hAnsi="Palatino Linotype" w:cs="Palatino Linotype"/>
          <w:color w:val="231F20"/>
          <w:sz w:val="20"/>
          <w:szCs w:val="20"/>
        </w:rPr>
        <w:t>modeled</w:t>
      </w:r>
      <w:proofErr w:type="spellEnd"/>
      <w:r w:rsidRPr="009B6508">
        <w:rPr>
          <w:rFonts w:ascii="Palatino Linotype" w:hAnsi="Palatino Linotype" w:cs="Palatino Linotype"/>
          <w:color w:val="231F20"/>
          <w:sz w:val="20"/>
          <w:szCs w:val="20"/>
        </w:rPr>
        <w:t xml:space="preserve">, but is added to the aboveground biomass accumulation according to a root/shoot ratio that declines with </w:t>
      </w:r>
      <w:proofErr w:type="spellStart"/>
      <w:r w:rsidRPr="009B6508">
        <w:rPr>
          <w:rFonts w:ascii="Palatino Linotype" w:hAnsi="Palatino Linotype" w:cs="Palatino Linotype"/>
          <w:color w:val="231F20"/>
          <w:sz w:val="20"/>
          <w:szCs w:val="20"/>
        </w:rPr>
        <w:t>succes</w:t>
      </w:r>
      <w:proofErr w:type="spellEnd"/>
      <w:r w:rsidRPr="009B6508">
        <w:rPr>
          <w:rFonts w:ascii="Palatino Linotype" w:hAnsi="Palatino Linotype" w:cs="Palatino Linotype"/>
          <w:color w:val="231F20"/>
          <w:sz w:val="20"/>
          <w:szCs w:val="20"/>
        </w:rPr>
        <w:t xml:space="preserve"> </w:t>
      </w:r>
      <w:proofErr w:type="spellStart"/>
      <w:r w:rsidRPr="009B6508">
        <w:rPr>
          <w:rFonts w:ascii="Palatino Linotype" w:hAnsi="Palatino Linotype" w:cs="Palatino Linotype"/>
          <w:color w:val="231F20"/>
          <w:sz w:val="20"/>
          <w:szCs w:val="20"/>
        </w:rPr>
        <w:t>sive</w:t>
      </w:r>
      <w:proofErr w:type="spellEnd"/>
      <w:r w:rsidRPr="009B6508">
        <w:rPr>
          <w:rFonts w:ascii="Palatino Linotype" w:hAnsi="Palatino Linotype" w:cs="Palatino Linotype"/>
          <w:color w:val="231F20"/>
          <w:sz w:val="20"/>
          <w:szCs w:val="20"/>
        </w:rPr>
        <w:t xml:space="preserve"> growth stages of the crop.</w:t>
      </w:r>
    </w:p>
    <w:p w:rsidR="009B6508" w:rsidRPr="009B6508" w:rsidRDefault="009B6508" w:rsidP="009B6508">
      <w:pPr>
        <w:kinsoku w:val="0"/>
        <w:overflowPunct w:val="0"/>
        <w:autoSpaceDE w:val="0"/>
        <w:autoSpaceDN w:val="0"/>
        <w:adjustRightInd w:val="0"/>
        <w:spacing w:before="2" w:after="0" w:line="218" w:lineRule="auto"/>
        <w:ind w:left="124" w:right="354" w:firstLine="362"/>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Daily aboveground biomass accumulation is partitioned to plant parts in ratios that depend on the growth stage of the crop via functions that have been found to describe these ratios well (Jones and </w:t>
      </w:r>
      <w:proofErr w:type="spellStart"/>
      <w:r w:rsidRPr="009B6508">
        <w:rPr>
          <w:rFonts w:ascii="Palatino Linotype" w:hAnsi="Palatino Linotype" w:cs="Palatino Linotype"/>
          <w:color w:val="231F20"/>
          <w:sz w:val="20"/>
          <w:szCs w:val="20"/>
        </w:rPr>
        <w:t>Kiniry</w:t>
      </w:r>
      <w:proofErr w:type="spellEnd"/>
      <w:r w:rsidRPr="009B6508">
        <w:rPr>
          <w:rFonts w:ascii="Palatino Linotype" w:hAnsi="Palatino Linotype" w:cs="Palatino Linotype"/>
          <w:color w:val="231F20"/>
          <w:sz w:val="20"/>
          <w:szCs w:val="20"/>
        </w:rPr>
        <w:t xml:space="preserve">, 1986). Before the flag leaf stage, new biomass is allocated to stem and leaves. Leaves are partitioned a </w:t>
      </w:r>
      <w:proofErr w:type="spellStart"/>
      <w:r w:rsidRPr="009B6508">
        <w:rPr>
          <w:rFonts w:ascii="Palatino Linotype" w:hAnsi="Palatino Linotype" w:cs="Palatino Linotype"/>
          <w:color w:val="231F20"/>
          <w:sz w:val="20"/>
          <w:szCs w:val="20"/>
        </w:rPr>
        <w:t>frac</w:t>
      </w:r>
      <w:proofErr w:type="spellEnd"/>
      <w:r w:rsidRPr="009B6508">
        <w:rPr>
          <w:rFonts w:ascii="Palatino Linotype" w:hAnsi="Palatino Linotype" w:cs="Palatino Linotype"/>
          <w:color w:val="231F20"/>
          <w:sz w:val="20"/>
          <w:szCs w:val="20"/>
        </w:rPr>
        <w:t xml:space="preserve">- </w:t>
      </w:r>
      <w:proofErr w:type="spellStart"/>
      <w:r w:rsidRPr="009B6508">
        <w:rPr>
          <w:rFonts w:ascii="Palatino Linotype" w:hAnsi="Palatino Linotype" w:cs="Palatino Linotype"/>
          <w:color w:val="231F20"/>
          <w:sz w:val="20"/>
          <w:szCs w:val="20"/>
        </w:rPr>
        <w:t>tion</w:t>
      </w:r>
      <w:proofErr w:type="spellEnd"/>
      <w:r w:rsidRPr="009B6508">
        <w:rPr>
          <w:rFonts w:ascii="Palatino Linotype" w:hAnsi="Palatino Linotype" w:cs="Palatino Linotype"/>
          <w:color w:val="231F20"/>
          <w:sz w:val="20"/>
          <w:szCs w:val="20"/>
        </w:rPr>
        <w:t xml:space="preserve"> that decreases with increasing node number up to a maximum absolute allocation to leaf that is set by the ratio of the new leaf area to be grown (described above) and a minimum specific leaf area (cm2 g−1). The remaining biomass is par- </w:t>
      </w:r>
      <w:proofErr w:type="spellStart"/>
      <w:r w:rsidRPr="009B6508">
        <w:rPr>
          <w:rFonts w:ascii="Palatino Linotype" w:hAnsi="Palatino Linotype" w:cs="Palatino Linotype"/>
          <w:color w:val="231F20"/>
          <w:sz w:val="20"/>
          <w:szCs w:val="20"/>
        </w:rPr>
        <w:t>titioned</w:t>
      </w:r>
      <w:proofErr w:type="spellEnd"/>
      <w:r w:rsidRPr="009B6508">
        <w:rPr>
          <w:rFonts w:ascii="Palatino Linotype" w:hAnsi="Palatino Linotype" w:cs="Palatino Linotype"/>
          <w:color w:val="231F20"/>
          <w:sz w:val="20"/>
          <w:szCs w:val="20"/>
        </w:rPr>
        <w:t xml:space="preserve"> to stem and rachis. The stem fraction incorporates leaf sheaths, but a distinct allocation to rachis commences after panicle initiation. Between flag leaf and </w:t>
      </w:r>
      <w:proofErr w:type="spellStart"/>
      <w:r w:rsidRPr="009B6508">
        <w:rPr>
          <w:rFonts w:ascii="Palatino Linotype" w:hAnsi="Palatino Linotype" w:cs="Palatino Linotype"/>
          <w:color w:val="231F20"/>
          <w:sz w:val="20"/>
          <w:szCs w:val="20"/>
        </w:rPr>
        <w:t>anthesis</w:t>
      </w:r>
      <w:proofErr w:type="spellEnd"/>
      <w:r w:rsidRPr="009B6508">
        <w:rPr>
          <w:rFonts w:ascii="Palatino Linotype" w:hAnsi="Palatino Linotype" w:cs="Palatino Linotype"/>
          <w:color w:val="231F20"/>
          <w:sz w:val="20"/>
          <w:szCs w:val="20"/>
        </w:rPr>
        <w:t>, accumulated biomass is allocated to the stem and rachis in a fixed ratio.</w:t>
      </w:r>
    </w:p>
    <w:p w:rsidR="009B6508" w:rsidRPr="00EF4306" w:rsidRDefault="009B6508"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Grain yield is simulated as the product of grain number and grain size. Maximum grain number is a function of the change in </w:t>
      </w:r>
      <w:r w:rsidRPr="009B6508">
        <w:rPr>
          <w:rFonts w:ascii="Palatino Linotype" w:hAnsi="Palatino Linotype" w:cs="Palatino Linotype"/>
          <w:color w:val="231F20"/>
          <w:sz w:val="20"/>
          <w:szCs w:val="20"/>
        </w:rPr>
        <w:lastRenderedPageBreak/>
        <w:t>plant biomass between panicle</w:t>
      </w:r>
      <w:r w:rsidRPr="00EF4306">
        <w:rPr>
          <w:rFonts w:ascii="Palatino Linotype" w:hAnsi="Palatino Linotype" w:cs="Palatino Linotype"/>
          <w:color w:val="231F20"/>
          <w:sz w:val="20"/>
          <w:szCs w:val="20"/>
        </w:rPr>
        <w:t xml:space="preserve"> </w:t>
      </w:r>
      <w:r w:rsidRPr="009B6508">
        <w:rPr>
          <w:rFonts w:ascii="Palatino Linotype" w:hAnsi="Palatino Linotype" w:cs="Palatino Linotype"/>
          <w:color w:val="231F20"/>
          <w:sz w:val="20"/>
          <w:szCs w:val="20"/>
        </w:rPr>
        <w:t xml:space="preserve">initiation and start grain filling (Rosenthal et al., 1989), while grain size is deter- mined by grain growth rate, effective grain filling period, and redistribution of assimilates </w:t>
      </w:r>
      <w:proofErr w:type="spellStart"/>
      <w:r w:rsidRPr="009B6508">
        <w:rPr>
          <w:rFonts w:ascii="Palatino Linotype" w:hAnsi="Palatino Linotype" w:cs="Palatino Linotype"/>
          <w:color w:val="231F20"/>
          <w:sz w:val="20"/>
          <w:szCs w:val="20"/>
        </w:rPr>
        <w:t>postanthesis</w:t>
      </w:r>
      <w:proofErr w:type="spellEnd"/>
      <w:r w:rsidRPr="009B6508">
        <w:rPr>
          <w:rFonts w:ascii="Palatino Linotype" w:hAnsi="Palatino Linotype" w:cs="Palatino Linotype"/>
          <w:color w:val="231F20"/>
          <w:sz w:val="20"/>
          <w:szCs w:val="20"/>
        </w:rPr>
        <w:t xml:space="preserve"> (</w:t>
      </w:r>
      <w:proofErr w:type="spellStart"/>
      <w:r w:rsidRPr="009B6508">
        <w:rPr>
          <w:rFonts w:ascii="Palatino Linotype" w:hAnsi="Palatino Linotype" w:cs="Palatino Linotype"/>
          <w:color w:val="231F20"/>
          <w:sz w:val="20"/>
          <w:szCs w:val="20"/>
        </w:rPr>
        <w:t>Heiniger</w:t>
      </w:r>
      <w:proofErr w:type="spellEnd"/>
      <w:r w:rsidRPr="009B6508">
        <w:rPr>
          <w:rFonts w:ascii="Palatino Linotype" w:hAnsi="Palatino Linotype" w:cs="Palatino Linotype"/>
          <w:color w:val="231F20"/>
          <w:sz w:val="20"/>
          <w:szCs w:val="20"/>
        </w:rPr>
        <w:t xml:space="preserve"> et al., 1997b). If grain mass demand for a day exceeds the daily increase in biomass, the shortfall will first be met through translocation from stem and, if that is insufficient to meet demand of the grain, through translocation from leaves, accelerating their senescence. Conversely, if the daily increase in biomass exceeds the grain mass demand, the excess biomass production is allocated to the stem.</w:t>
      </w:r>
    </w:p>
    <w:p w:rsidR="009B6508" w:rsidRDefault="009B6508"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18"/>
          <w:szCs w:val="18"/>
        </w:rPr>
      </w:pPr>
    </w:p>
    <w:p w:rsidR="00EF4306" w:rsidRPr="009B6508" w:rsidRDefault="009B6508" w:rsidP="00EF4306">
      <w:pPr>
        <w:kinsoku w:val="0"/>
        <w:overflowPunct w:val="0"/>
        <w:autoSpaceDE w:val="0"/>
        <w:autoSpaceDN w:val="0"/>
        <w:adjustRightInd w:val="0"/>
        <w:spacing w:before="122" w:after="0" w:line="240" w:lineRule="auto"/>
        <w:outlineLvl w:val="0"/>
        <w:rPr>
          <w:rFonts w:ascii="Century Gothic" w:hAnsi="Century Gothic" w:cs="Century Gothic"/>
          <w:color w:val="231F20"/>
        </w:rPr>
      </w:pPr>
      <w:r w:rsidRPr="009B6508">
        <w:rPr>
          <w:rFonts w:ascii="Century Gothic" w:hAnsi="Century Gothic" w:cs="Century Gothic"/>
          <w:color w:val="231F20"/>
        </w:rPr>
        <w:t>Crop Nitrogen Dynamics</w:t>
      </w:r>
    </w:p>
    <w:p w:rsidR="00EF4306" w:rsidRDefault="00EF4306"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20"/>
          <w:szCs w:val="20"/>
        </w:rPr>
      </w:pPr>
    </w:p>
    <w:p w:rsidR="009B6508" w:rsidRPr="009B6508" w:rsidRDefault="009B6508"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Crop N dynamics are </w:t>
      </w:r>
      <w:proofErr w:type="spellStart"/>
      <w:r w:rsidRPr="009B6508">
        <w:rPr>
          <w:rFonts w:ascii="Palatino Linotype" w:hAnsi="Palatino Linotype" w:cs="Palatino Linotype"/>
          <w:color w:val="231F20"/>
          <w:sz w:val="20"/>
          <w:szCs w:val="20"/>
        </w:rPr>
        <w:t>modeled</w:t>
      </w:r>
      <w:proofErr w:type="spellEnd"/>
      <w:r w:rsidRPr="009B6508">
        <w:rPr>
          <w:rFonts w:ascii="Palatino Linotype" w:hAnsi="Palatino Linotype" w:cs="Palatino Linotype"/>
          <w:color w:val="231F20"/>
          <w:sz w:val="20"/>
          <w:szCs w:val="20"/>
        </w:rPr>
        <w:t xml:space="preserve"> based on a physiological approach that accounts for the fact that the bulk of reduced N present in leaves is associated with photosynthesis structures and enzymes (</w:t>
      </w:r>
      <w:proofErr w:type="spellStart"/>
      <w:r w:rsidRPr="009B6508">
        <w:rPr>
          <w:rFonts w:ascii="Palatino Linotype" w:hAnsi="Palatino Linotype" w:cs="Palatino Linotype"/>
          <w:color w:val="231F20"/>
          <w:sz w:val="20"/>
          <w:szCs w:val="20"/>
        </w:rPr>
        <w:t>Grindlay</w:t>
      </w:r>
      <w:proofErr w:type="spellEnd"/>
      <w:r w:rsidRPr="009B6508">
        <w:rPr>
          <w:rFonts w:ascii="Palatino Linotype" w:hAnsi="Palatino Linotype" w:cs="Palatino Linotype"/>
          <w:color w:val="231F20"/>
          <w:sz w:val="20"/>
          <w:szCs w:val="20"/>
        </w:rPr>
        <w:t xml:space="preserve">, 1997) (Fig. 1b). The rate of light-saturated net photosynthesis has been shown to be a linear function of the amount of leaf N per unit leaf area (specific leaf nitrogen [SLN]), until a species- specific maximum rate of photosynthesis has been reached (Sinclair and </w:t>
      </w:r>
      <w:proofErr w:type="spellStart"/>
      <w:r w:rsidRPr="009B6508">
        <w:rPr>
          <w:rFonts w:ascii="Palatino Linotype" w:hAnsi="Palatino Linotype" w:cs="Palatino Linotype"/>
          <w:color w:val="231F20"/>
          <w:sz w:val="20"/>
          <w:szCs w:val="20"/>
        </w:rPr>
        <w:t>Horie</w:t>
      </w:r>
      <w:proofErr w:type="spellEnd"/>
      <w:r w:rsidRPr="009B6508">
        <w:rPr>
          <w:rFonts w:ascii="Palatino Linotype" w:hAnsi="Palatino Linotype" w:cs="Palatino Linotype"/>
          <w:color w:val="231F20"/>
          <w:sz w:val="20"/>
          <w:szCs w:val="20"/>
        </w:rPr>
        <w:t xml:space="preserve">, 1989; </w:t>
      </w:r>
      <w:proofErr w:type="spellStart"/>
      <w:r w:rsidRPr="009B6508">
        <w:rPr>
          <w:rFonts w:ascii="Palatino Linotype" w:hAnsi="Palatino Linotype" w:cs="Palatino Linotype"/>
          <w:color w:val="231F20"/>
          <w:sz w:val="20"/>
          <w:szCs w:val="20"/>
        </w:rPr>
        <w:t>Anten</w:t>
      </w:r>
      <w:proofErr w:type="spellEnd"/>
      <w:r w:rsidRPr="009B6508">
        <w:rPr>
          <w:rFonts w:ascii="Palatino Linotype" w:hAnsi="Palatino Linotype" w:cs="Palatino Linotype"/>
          <w:color w:val="231F20"/>
          <w:sz w:val="20"/>
          <w:szCs w:val="20"/>
        </w:rPr>
        <w:t xml:space="preserve"> et al., 1995; </w:t>
      </w:r>
      <w:proofErr w:type="spellStart"/>
      <w:r w:rsidRPr="009B6508">
        <w:rPr>
          <w:rFonts w:ascii="Palatino Linotype" w:hAnsi="Palatino Linotype" w:cs="Palatino Linotype"/>
          <w:color w:val="231F20"/>
          <w:sz w:val="20"/>
          <w:szCs w:val="20"/>
        </w:rPr>
        <w:t>Grindlay</w:t>
      </w:r>
      <w:proofErr w:type="spellEnd"/>
      <w:r w:rsidRPr="009B6508">
        <w:rPr>
          <w:rFonts w:ascii="Palatino Linotype" w:hAnsi="Palatino Linotype" w:cs="Palatino Linotype"/>
          <w:color w:val="231F20"/>
          <w:sz w:val="20"/>
          <w:szCs w:val="20"/>
        </w:rPr>
        <w:t xml:space="preserve">, 1997). Expressing crop N demand relative to canopy expansion thus provides a physiological link between crop N status, light interception, and dry matter accumulation. In addition, the cardinal SLN values for new leaf growth and for leaf death in response to N deficiency are </w:t>
      </w:r>
      <w:proofErr w:type="spellStart"/>
      <w:r w:rsidRPr="009B6508">
        <w:rPr>
          <w:rFonts w:ascii="Palatino Linotype" w:hAnsi="Palatino Linotype" w:cs="Palatino Linotype"/>
          <w:color w:val="231F20"/>
          <w:sz w:val="20"/>
          <w:szCs w:val="20"/>
        </w:rPr>
        <w:t>indepen</w:t>
      </w:r>
      <w:proofErr w:type="spellEnd"/>
      <w:r w:rsidRPr="009B6508">
        <w:rPr>
          <w:rFonts w:ascii="Palatino Linotype" w:hAnsi="Palatino Linotype" w:cs="Palatino Linotype"/>
          <w:color w:val="231F20"/>
          <w:sz w:val="20"/>
          <w:szCs w:val="20"/>
        </w:rPr>
        <w:t>- dent of growth stage (van Oosterom et al., 2010a).</w:t>
      </w:r>
    </w:p>
    <w:p w:rsidR="009B6508" w:rsidRPr="009B6508" w:rsidRDefault="009B6508"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During the </w:t>
      </w:r>
      <w:proofErr w:type="spellStart"/>
      <w:r w:rsidRPr="009B6508">
        <w:rPr>
          <w:rFonts w:ascii="Palatino Linotype" w:hAnsi="Palatino Linotype" w:cs="Palatino Linotype"/>
          <w:color w:val="231F20"/>
          <w:sz w:val="20"/>
          <w:szCs w:val="20"/>
        </w:rPr>
        <w:t>preanthesis</w:t>
      </w:r>
      <w:proofErr w:type="spellEnd"/>
      <w:r w:rsidRPr="009B6508">
        <w:rPr>
          <w:rFonts w:ascii="Palatino Linotype" w:hAnsi="Palatino Linotype" w:cs="Palatino Linotype"/>
          <w:color w:val="231F20"/>
          <w:sz w:val="20"/>
          <w:szCs w:val="20"/>
        </w:rPr>
        <w:t xml:space="preserve"> period, only stems (including rachis) and leaves are expanding, and their N demand is met in a hierarchical fashion (van Oosterom et al., 2010a). First, structural N demand of the stem (and rachis) is met, as structural stem mass is required to support leaf growth. Structural stem N demand is rep- resented by the minimum stem N concentration. If insufficient N has been taken up to meet structural stem N requirement, N can be translocated from leaves by dilution or, in extreme cases of early season N deficiency, by leaf senescence. Second, the N demand of expanding new leaves will be met, and this is deter- mined from their critical SLN. Any additional N uptake will first be allocated to leaves to meet their target SLN and then to stem. For leaves, this N uptake rep- resents “luxury” uptake that can occur after full expansion of a leaf, </w:t>
      </w:r>
      <w:r w:rsidRPr="009B6508">
        <w:rPr>
          <w:rFonts w:ascii="Palatino Linotype" w:hAnsi="Palatino Linotype" w:cs="Palatino Linotype"/>
          <w:color w:val="231F20"/>
          <w:sz w:val="20"/>
          <w:szCs w:val="20"/>
        </w:rPr>
        <w:lastRenderedPageBreak/>
        <w:t>and which does not affect growth and development (van Oos</w:t>
      </w:r>
      <w:r w:rsidRPr="00EF4306">
        <w:rPr>
          <w:rFonts w:ascii="Palatino Linotype" w:hAnsi="Palatino Linotype" w:cs="Palatino Linotype"/>
          <w:color w:val="231F20"/>
          <w:sz w:val="20"/>
          <w:szCs w:val="20"/>
        </w:rPr>
        <w:t>terom et al., 2010a). This hier</w:t>
      </w:r>
      <w:r w:rsidRPr="009B6508">
        <w:rPr>
          <w:rFonts w:ascii="Palatino Linotype" w:hAnsi="Palatino Linotype" w:cs="Palatino Linotype"/>
          <w:color w:val="231F20"/>
          <w:sz w:val="20"/>
          <w:szCs w:val="20"/>
        </w:rPr>
        <w:t xml:space="preserve">archical allocation of N is consistent with observations that under N stress a relatively larger proportion of N is allocated to the leaves (van Oosterom et al., 2010a). Hence, </w:t>
      </w:r>
      <w:proofErr w:type="spellStart"/>
      <w:r w:rsidRPr="009B6508">
        <w:rPr>
          <w:rFonts w:ascii="Palatino Linotype" w:hAnsi="Palatino Linotype" w:cs="Palatino Linotype"/>
          <w:color w:val="231F20"/>
          <w:sz w:val="20"/>
          <w:szCs w:val="20"/>
        </w:rPr>
        <w:t>preanthesis</w:t>
      </w:r>
      <w:proofErr w:type="spellEnd"/>
      <w:r w:rsidRPr="009B6508">
        <w:rPr>
          <w:rFonts w:ascii="Palatino Linotype" w:hAnsi="Palatino Linotype" w:cs="Palatino Linotype"/>
          <w:color w:val="231F20"/>
          <w:sz w:val="20"/>
          <w:szCs w:val="20"/>
        </w:rPr>
        <w:t xml:space="preserve"> N allocation ratios are a consequence of model dynamics, rather than a model input.</w:t>
      </w:r>
    </w:p>
    <w:p w:rsidR="009B6508" w:rsidRPr="009B6508" w:rsidRDefault="009B6508"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 xml:space="preserve">After </w:t>
      </w:r>
      <w:proofErr w:type="spellStart"/>
      <w:r w:rsidRPr="009B6508">
        <w:rPr>
          <w:rFonts w:ascii="Palatino Linotype" w:hAnsi="Palatino Linotype" w:cs="Palatino Linotype"/>
          <w:color w:val="231F20"/>
          <w:sz w:val="20"/>
          <w:szCs w:val="20"/>
        </w:rPr>
        <w:t>anthesis</w:t>
      </w:r>
      <w:proofErr w:type="spellEnd"/>
      <w:r w:rsidRPr="009B6508">
        <w:rPr>
          <w:rFonts w:ascii="Palatino Linotype" w:hAnsi="Palatino Linotype" w:cs="Palatino Linotype"/>
          <w:color w:val="231F20"/>
          <w:sz w:val="20"/>
          <w:szCs w:val="20"/>
        </w:rPr>
        <w:t>, grain becomes the major sink for N, and grain N demand is determined as the product of grain number and N demand per grain. During the first part of grain filling, N demand per grain is constant and independent of grain growth rate and N status of the crop (van Oosterom et al., 2010b). At this time endosperm cells are dividing, so that the accumulation of structural (metabolic) proteins in the grain is the key driver. During the second half of grain filling, grain N demand is linked with grain growth rate as cell division and simultaneous storage of carbohydrate and proteins assumes a greater role (</w:t>
      </w:r>
      <w:proofErr w:type="spellStart"/>
      <w:r w:rsidRPr="009B6508">
        <w:rPr>
          <w:rFonts w:ascii="Palatino Linotype" w:hAnsi="Palatino Linotype" w:cs="Palatino Linotype"/>
          <w:color w:val="231F20"/>
          <w:sz w:val="20"/>
          <w:szCs w:val="20"/>
        </w:rPr>
        <w:t>Martre</w:t>
      </w:r>
      <w:proofErr w:type="spellEnd"/>
      <w:r w:rsidRPr="009B6508">
        <w:rPr>
          <w:rFonts w:ascii="Palatino Linotype" w:hAnsi="Palatino Linotype" w:cs="Palatino Linotype"/>
          <w:color w:val="231F20"/>
          <w:sz w:val="20"/>
          <w:szCs w:val="20"/>
        </w:rPr>
        <w:t xml:space="preserve"> et al., 2006). Grain protein content can thus vary depending on the N supply–demand balance and the carbohydrate supply to the grain. Grain N demand is initially met through stem (plus rachis) N translocation, and if this becomes insufficient, then N translocation from leaf can occur. Maximum N translocation rates from</w:t>
      </w:r>
      <w:r w:rsidRPr="00EF4306">
        <w:rPr>
          <w:rFonts w:ascii="Palatino Linotype" w:hAnsi="Palatino Linotype" w:cs="Palatino Linotype"/>
          <w:color w:val="231F20"/>
          <w:sz w:val="20"/>
          <w:szCs w:val="20"/>
        </w:rPr>
        <w:t xml:space="preserve"> </w:t>
      </w:r>
      <w:r w:rsidRPr="009B6508">
        <w:rPr>
          <w:rFonts w:ascii="Palatino Linotype" w:hAnsi="Palatino Linotype" w:cs="Palatino Linotype"/>
          <w:color w:val="231F20"/>
          <w:sz w:val="20"/>
          <w:szCs w:val="20"/>
        </w:rPr>
        <w:t>stem and per unit leaf area are a function of the N status of these organs, so that sink demand determines the amount of leaf area that is senescing at any one time (van Oosterom et al., 2010b). The source regulation of N translocation follows a first-order kinetic relationship that is representative of enzyme activity. Leaf SLN thus declines to its structural (minimum) level, and the amount of leaf area senesced, in the absence of other factors that can affect senescence, such as water limitation and shading, depends on the N supply–demand balance.</w:t>
      </w:r>
    </w:p>
    <w:p w:rsidR="009B6508" w:rsidRPr="009B6508" w:rsidRDefault="009B6508"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20"/>
          <w:szCs w:val="20"/>
        </w:rPr>
      </w:pPr>
      <w:r w:rsidRPr="009B6508">
        <w:rPr>
          <w:rFonts w:ascii="Palatino Linotype" w:hAnsi="Palatino Linotype" w:cs="Palatino Linotype"/>
          <w:color w:val="231F20"/>
          <w:sz w:val="20"/>
          <w:szCs w:val="20"/>
        </w:rPr>
        <w:t>The daily rate of crop N uptake is the minimum of demand for N by the crop and potential supply of N from the soil and senescing leaves, capped at a maxi- mum N uptake rate (van Oosterom et al., 2010a). Potential N supply from the soil depends on the available soil N through the profile and on the extent to which roots have explored the soil. N supply from the soil is calculated from the combi- nation of passive uptake, through mass flow of N taken up with the transpiration</w:t>
      </w:r>
      <w:r w:rsidRPr="00EF4306">
        <w:rPr>
          <w:rFonts w:ascii="Palatino Linotype" w:hAnsi="Palatino Linotype" w:cs="Palatino Linotype"/>
          <w:color w:val="231F20"/>
          <w:sz w:val="20"/>
          <w:szCs w:val="20"/>
        </w:rPr>
        <w:t xml:space="preserve"> (</w:t>
      </w:r>
      <w:r w:rsidRPr="009B6508">
        <w:rPr>
          <w:rFonts w:ascii="Palatino Linotype" w:hAnsi="Palatino Linotype" w:cs="Palatino Linotype"/>
          <w:color w:val="231F20"/>
          <w:sz w:val="20"/>
          <w:szCs w:val="20"/>
        </w:rPr>
        <w:t>Sel</w:t>
      </w:r>
      <w:r w:rsidRPr="00EF4306">
        <w:rPr>
          <w:rFonts w:ascii="Palatino Linotype" w:hAnsi="Palatino Linotype" w:cs="Palatino Linotype"/>
          <w:color w:val="231F20"/>
          <w:sz w:val="20"/>
          <w:szCs w:val="20"/>
        </w:rPr>
        <w:t>igman, 1987). Soil N transforma</w:t>
      </w:r>
      <w:r w:rsidRPr="009B6508">
        <w:rPr>
          <w:rFonts w:ascii="Palatino Linotype" w:hAnsi="Palatino Linotype" w:cs="Palatino Linotype"/>
          <w:color w:val="231F20"/>
          <w:sz w:val="20"/>
          <w:szCs w:val="20"/>
        </w:rPr>
        <w:t xml:space="preserve">tions and their </w:t>
      </w:r>
      <w:proofErr w:type="spellStart"/>
      <w:r w:rsidRPr="009B6508">
        <w:rPr>
          <w:rFonts w:ascii="Palatino Linotype" w:hAnsi="Palatino Linotype" w:cs="Palatino Linotype"/>
          <w:color w:val="231F20"/>
          <w:sz w:val="20"/>
          <w:szCs w:val="20"/>
        </w:rPr>
        <w:t>modeling</w:t>
      </w:r>
      <w:proofErr w:type="spellEnd"/>
      <w:r w:rsidRPr="009B6508">
        <w:rPr>
          <w:rFonts w:ascii="Palatino Linotype" w:hAnsi="Palatino Linotype" w:cs="Palatino Linotype"/>
          <w:color w:val="231F20"/>
          <w:sz w:val="20"/>
          <w:szCs w:val="20"/>
        </w:rPr>
        <w:t xml:space="preserve"> in APSIM have been detailed by Probert et al. (1998).</w:t>
      </w:r>
    </w:p>
    <w:p w:rsidR="00D350EC" w:rsidRPr="009B6508" w:rsidRDefault="00D350EC" w:rsidP="009B6508">
      <w:pPr>
        <w:kinsoku w:val="0"/>
        <w:overflowPunct w:val="0"/>
        <w:autoSpaceDE w:val="0"/>
        <w:autoSpaceDN w:val="0"/>
        <w:adjustRightInd w:val="0"/>
        <w:spacing w:before="9" w:after="0" w:line="218" w:lineRule="auto"/>
        <w:ind w:left="128" w:right="354" w:firstLine="358"/>
        <w:jc w:val="both"/>
        <w:rPr>
          <w:rFonts w:ascii="Palatino Linotype" w:hAnsi="Palatino Linotype" w:cs="Palatino Linotype"/>
          <w:color w:val="231F20"/>
          <w:sz w:val="18"/>
          <w:szCs w:val="18"/>
        </w:rPr>
      </w:pPr>
    </w:p>
    <w:p w:rsidR="009B6508" w:rsidRDefault="009B6508"/>
    <w:p w:rsidR="009B6508" w:rsidRDefault="005D67DB">
      <w:r w:rsidRPr="005D67DB">
        <w:lastRenderedPageBreak/>
        <w:drawing>
          <wp:inline distT="0" distB="0" distL="0" distR="0">
            <wp:extent cx="4114800" cy="39188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3918857"/>
                    </a:xfrm>
                    <a:prstGeom prst="rect">
                      <a:avLst/>
                    </a:prstGeom>
                    <a:noFill/>
                    <a:ln>
                      <a:noFill/>
                    </a:ln>
                  </pic:spPr>
                </pic:pic>
              </a:graphicData>
            </a:graphic>
          </wp:inline>
        </w:drawing>
      </w:r>
      <w:bookmarkStart w:id="0" w:name="_GoBack"/>
      <w:bookmarkEnd w:id="0"/>
    </w:p>
    <w:p w:rsidR="005D67DB" w:rsidRDefault="005D67DB"/>
    <w:p w:rsidR="009B6508" w:rsidRDefault="009B6508"/>
    <w:p w:rsidR="009B6508" w:rsidRPr="009B6508" w:rsidRDefault="009B6508" w:rsidP="009B6508">
      <w:pPr>
        <w:kinsoku w:val="0"/>
        <w:overflowPunct w:val="0"/>
        <w:autoSpaceDE w:val="0"/>
        <w:autoSpaceDN w:val="0"/>
        <w:adjustRightInd w:val="0"/>
        <w:spacing w:before="188" w:after="0" w:line="235" w:lineRule="auto"/>
        <w:ind w:left="269" w:right="157"/>
        <w:jc w:val="both"/>
        <w:rPr>
          <w:rFonts w:ascii="Arial" w:hAnsi="Arial" w:cs="Arial"/>
          <w:b/>
          <w:bCs/>
          <w:color w:val="231F20"/>
          <w:sz w:val="20"/>
          <w:szCs w:val="20"/>
        </w:rPr>
      </w:pPr>
      <w:r w:rsidRPr="00EF4306">
        <w:rPr>
          <w:rFonts w:ascii="Arial" w:hAnsi="Arial" w:cs="Arial"/>
          <w:b/>
          <w:bCs/>
          <w:color w:val="231F20"/>
          <w:sz w:val="20"/>
          <w:szCs w:val="20"/>
        </w:rPr>
        <w:t>F</w:t>
      </w:r>
      <w:r w:rsidRPr="009B6508">
        <w:rPr>
          <w:rFonts w:ascii="Arial" w:hAnsi="Arial" w:cs="Arial"/>
          <w:b/>
          <w:bCs/>
          <w:color w:val="231F20"/>
          <w:sz w:val="20"/>
          <w:szCs w:val="20"/>
        </w:rPr>
        <w:t xml:space="preserve">ig. 1. Schematic representation of crop growth and development dynamics (a) and crop nitrogen dynamics (b) in Agricultural Production System </w:t>
      </w:r>
      <w:proofErr w:type="spellStart"/>
      <w:r w:rsidRPr="009B6508">
        <w:rPr>
          <w:rFonts w:ascii="Arial" w:hAnsi="Arial" w:cs="Arial"/>
          <w:b/>
          <w:bCs/>
          <w:color w:val="231F20"/>
          <w:sz w:val="20"/>
          <w:szCs w:val="20"/>
        </w:rPr>
        <w:t>sIMulator</w:t>
      </w:r>
      <w:proofErr w:type="spellEnd"/>
      <w:r w:rsidRPr="009B6508">
        <w:rPr>
          <w:rFonts w:ascii="Arial" w:hAnsi="Arial" w:cs="Arial"/>
          <w:b/>
          <w:bCs/>
          <w:color w:val="231F20"/>
          <w:sz w:val="20"/>
          <w:szCs w:val="20"/>
        </w:rPr>
        <w:t xml:space="preserve"> (APSIM)- sorghum model. Connection points between the two schematics are shown by the shaded boxes. After Hammer et al. (2010). SLN, specific leaf nitrogen.</w:t>
      </w:r>
    </w:p>
    <w:p w:rsidR="009B6508" w:rsidRPr="009B6508" w:rsidRDefault="009B6508" w:rsidP="009B6508">
      <w:pPr>
        <w:kinsoku w:val="0"/>
        <w:overflowPunct w:val="0"/>
        <w:autoSpaceDE w:val="0"/>
        <w:autoSpaceDN w:val="0"/>
        <w:adjustRightInd w:val="0"/>
        <w:spacing w:after="0" w:line="240" w:lineRule="auto"/>
        <w:rPr>
          <w:rFonts w:ascii="Arial" w:hAnsi="Arial" w:cs="Arial"/>
          <w:b/>
          <w:bCs/>
          <w:sz w:val="20"/>
          <w:szCs w:val="20"/>
        </w:rPr>
      </w:pPr>
    </w:p>
    <w:p w:rsidR="009B6508" w:rsidRDefault="009B6508"/>
    <w:sectPr w:rsidR="009B6508" w:rsidSect="00EF4306">
      <w:type w:val="continuous"/>
      <w:pgSz w:w="8640" w:h="1296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08"/>
    <w:rsid w:val="005D67DB"/>
    <w:rsid w:val="009B6508"/>
    <w:rsid w:val="00D350EC"/>
    <w:rsid w:val="00EF4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F635"/>
  <w15:chartTrackingRefBased/>
  <w15:docId w15:val="{2F255B83-D6CA-4AD6-90E2-456E8115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B6508"/>
    <w:pPr>
      <w:autoSpaceDE w:val="0"/>
      <w:autoSpaceDN w:val="0"/>
      <w:adjustRightInd w:val="0"/>
      <w:spacing w:before="122" w:after="0" w:line="240" w:lineRule="auto"/>
      <w:ind w:left="1206"/>
      <w:outlineLvl w:val="0"/>
    </w:pPr>
    <w:rPr>
      <w:rFonts w:ascii="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6508"/>
    <w:rPr>
      <w:rFonts w:ascii="Century Gothic" w:hAnsi="Century Gothic" w:cs="Century Gothic"/>
    </w:rPr>
  </w:style>
  <w:style w:type="paragraph" w:styleId="BodyText">
    <w:name w:val="Body Text"/>
    <w:basedOn w:val="Normal"/>
    <w:link w:val="BodyTextChar"/>
    <w:uiPriority w:val="1"/>
    <w:qFormat/>
    <w:rsid w:val="009B6508"/>
    <w:pPr>
      <w:autoSpaceDE w:val="0"/>
      <w:autoSpaceDN w:val="0"/>
      <w:adjustRightInd w:val="0"/>
      <w:spacing w:after="0" w:line="240" w:lineRule="auto"/>
      <w:jc w:val="both"/>
    </w:pPr>
    <w:rPr>
      <w:rFonts w:ascii="Palatino Linotype" w:hAnsi="Palatino Linotype" w:cs="Palatino Linotype"/>
      <w:sz w:val="18"/>
      <w:szCs w:val="18"/>
    </w:rPr>
  </w:style>
  <w:style w:type="character" w:customStyle="1" w:styleId="BodyTextChar">
    <w:name w:val="Body Text Char"/>
    <w:basedOn w:val="DefaultParagraphFont"/>
    <w:link w:val="BodyText"/>
    <w:uiPriority w:val="1"/>
    <w:rsid w:val="009B6508"/>
    <w:rPr>
      <w:rFonts w:ascii="Palatino Linotype" w:hAnsi="Palatino Linotype" w:cs="Palatino Linotyp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Hammer</dc:creator>
  <cp:keywords/>
  <dc:description/>
  <cp:lastModifiedBy>Graeme Hammer</cp:lastModifiedBy>
  <cp:revision>3</cp:revision>
  <dcterms:created xsi:type="dcterms:W3CDTF">2019-03-26T06:20:00Z</dcterms:created>
  <dcterms:modified xsi:type="dcterms:W3CDTF">2019-03-26T06:32:00Z</dcterms:modified>
</cp:coreProperties>
</file>