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508" w:rsidRPr="009B6508" w:rsidRDefault="009B6508" w:rsidP="00EF4306">
      <w:pPr>
        <w:kinsoku w:val="0"/>
        <w:overflowPunct w:val="0"/>
        <w:autoSpaceDE w:val="0"/>
        <w:autoSpaceDN w:val="0"/>
        <w:adjustRightInd w:val="0"/>
        <w:spacing w:after="0" w:line="284" w:lineRule="exact"/>
        <w:rPr>
          <w:rFonts w:ascii="Century Gothic" w:hAnsi="Century Gothic" w:cs="Century Gothic"/>
          <w:color w:val="231F20"/>
          <w:sz w:val="24"/>
          <w:szCs w:val="24"/>
        </w:rPr>
      </w:pPr>
      <w:r w:rsidRPr="009B6508">
        <w:rPr>
          <w:rFonts w:ascii="Century Gothic" w:hAnsi="Century Gothic" w:cs="Century Gothic"/>
          <w:color w:val="231F20"/>
          <w:sz w:val="24"/>
          <w:szCs w:val="24"/>
          <w:u w:val="single"/>
        </w:rPr>
        <w:t>Structure and Function of the Sorghum Model in APSIM</w:t>
      </w:r>
    </w:p>
    <w:p w:rsidR="009B6508" w:rsidRDefault="009B6508" w:rsidP="009B6508">
      <w:pPr>
        <w:kinsoku w:val="0"/>
        <w:overflowPunct w:val="0"/>
        <w:autoSpaceDE w:val="0"/>
        <w:autoSpaceDN w:val="0"/>
        <w:adjustRightInd w:val="0"/>
        <w:spacing w:before="17" w:after="0" w:line="218" w:lineRule="auto"/>
        <w:ind w:left="39" w:right="360" w:firstLine="373"/>
        <w:jc w:val="both"/>
        <w:rPr>
          <w:rFonts w:ascii="Palatino Linotype" w:hAnsi="Palatino Linotype" w:cs="Palatino Linotype"/>
          <w:color w:val="231F20"/>
          <w:sz w:val="18"/>
          <w:szCs w:val="18"/>
        </w:rPr>
      </w:pPr>
    </w:p>
    <w:p w:rsidR="009B6508" w:rsidRPr="009B6508" w:rsidRDefault="009B6508" w:rsidP="009B6508">
      <w:pPr>
        <w:kinsoku w:val="0"/>
        <w:overflowPunct w:val="0"/>
        <w:autoSpaceDE w:val="0"/>
        <w:autoSpaceDN w:val="0"/>
        <w:adjustRightInd w:val="0"/>
        <w:spacing w:before="17" w:after="0" w:line="218" w:lineRule="auto"/>
        <w:ind w:left="39" w:right="360" w:firstLine="373"/>
        <w:jc w:val="both"/>
        <w:rPr>
          <w:rFonts w:ascii="Palatino Linotype" w:hAnsi="Palatino Linotype" w:cs="Palatino Linotype"/>
          <w:color w:val="231F20"/>
          <w:sz w:val="20"/>
          <w:szCs w:val="20"/>
        </w:rPr>
      </w:pPr>
      <w:r w:rsidRPr="009B6508">
        <w:rPr>
          <w:rFonts w:ascii="Palatino Linotype" w:hAnsi="Palatino Linotype" w:cs="Palatino Linotype"/>
          <w:color w:val="231F20"/>
          <w:sz w:val="20"/>
          <w:szCs w:val="20"/>
        </w:rPr>
        <w:t>The APSIM-sorghum model is based on a framework of the physiological determinants of crop growth and development (Charles-Edwards, 1982) and is focused at organ scale. It generates the phenotype of a crop as a consequence of underlying physiological processes (Fig. 1) by using the concept of supply and demand balances for light, carbon, water, and nitrogen (Hammer et al., 2001b). The approach is focused around quantifying capture and use of radiation, water, and nitrogen within a framework that predicts the dynamics of crop development and the realized growth of major organs based on their potential growth and whether the supply of carbohydrate and nitrogen can satisfy this potential. Demand for resources is defined by potential organ growth and potential supply by resource capture (</w:t>
      </w:r>
      <w:proofErr w:type="spellStart"/>
      <w:r w:rsidRPr="009B6508">
        <w:rPr>
          <w:rFonts w:ascii="Palatino Linotype" w:hAnsi="Palatino Linotype" w:cs="Palatino Linotype"/>
          <w:color w:val="231F20"/>
          <w:sz w:val="20"/>
          <w:szCs w:val="20"/>
        </w:rPr>
        <w:t>Monteith</w:t>
      </w:r>
      <w:proofErr w:type="spellEnd"/>
      <w:r w:rsidRPr="009B6508">
        <w:rPr>
          <w:rFonts w:ascii="Palatino Linotype" w:hAnsi="Palatino Linotype" w:cs="Palatino Linotype"/>
          <w:color w:val="231F20"/>
          <w:sz w:val="20"/>
          <w:szCs w:val="20"/>
        </w:rPr>
        <w:t xml:space="preserve">, 1977; </w:t>
      </w:r>
      <w:proofErr w:type="spellStart"/>
      <w:r w:rsidRPr="009B6508">
        <w:rPr>
          <w:rFonts w:ascii="Palatino Linotype" w:hAnsi="Palatino Linotype" w:cs="Palatino Linotype"/>
          <w:color w:val="231F20"/>
          <w:sz w:val="20"/>
          <w:szCs w:val="20"/>
        </w:rPr>
        <w:t>Passioura</w:t>
      </w:r>
      <w:proofErr w:type="spellEnd"/>
      <w:r w:rsidRPr="009B6508">
        <w:rPr>
          <w:rFonts w:ascii="Palatino Linotype" w:hAnsi="Palatino Linotype" w:cs="Palatino Linotype"/>
          <w:color w:val="231F20"/>
          <w:sz w:val="20"/>
          <w:szCs w:val="20"/>
        </w:rPr>
        <w:t xml:space="preserve">, 1983; </w:t>
      </w:r>
      <w:proofErr w:type="spellStart"/>
      <w:r w:rsidRPr="009B6508">
        <w:rPr>
          <w:rFonts w:ascii="Palatino Linotype" w:hAnsi="Palatino Linotype" w:cs="Palatino Linotype"/>
          <w:color w:val="231F20"/>
          <w:sz w:val="20"/>
          <w:szCs w:val="20"/>
        </w:rPr>
        <w:t>Monteith</w:t>
      </w:r>
      <w:proofErr w:type="spellEnd"/>
      <w:r w:rsidRPr="009B6508">
        <w:rPr>
          <w:rFonts w:ascii="Palatino Linotype" w:hAnsi="Palatino Linotype" w:cs="Palatino Linotype"/>
          <w:color w:val="231F20"/>
          <w:sz w:val="20"/>
          <w:szCs w:val="20"/>
        </w:rPr>
        <w:t xml:space="preserve">, 1986) (Fig. 1). Arbitration rules and organ level responses are invoked when resource capture cannot satisfy demand. The APSIM-sorghum model retains some features and concepts of earlier models (Sinclair, 1986; Rosenthal et al., 1989; Birch et al., 1990; Sinclair and Amir, 1992; Chapman et al., 1993; Hammer and </w:t>
      </w:r>
      <w:proofErr w:type="spellStart"/>
      <w:r w:rsidRPr="009B6508">
        <w:rPr>
          <w:rFonts w:ascii="Palatino Linotype" w:hAnsi="Palatino Linotype" w:cs="Palatino Linotype"/>
          <w:color w:val="231F20"/>
          <w:sz w:val="20"/>
          <w:szCs w:val="20"/>
        </w:rPr>
        <w:t>Muchow</w:t>
      </w:r>
      <w:proofErr w:type="spellEnd"/>
      <w:r w:rsidRPr="009B6508">
        <w:rPr>
          <w:rFonts w:ascii="Palatino Linotype" w:hAnsi="Palatino Linotype" w:cs="Palatino Linotype"/>
          <w:color w:val="231F20"/>
          <w:sz w:val="20"/>
          <w:szCs w:val="20"/>
        </w:rPr>
        <w:t xml:space="preserve">, 1994), but has been adapted and redesigned to generate a more explanatory approach to the </w:t>
      </w:r>
      <w:proofErr w:type="spellStart"/>
      <w:r w:rsidRPr="009B6508">
        <w:rPr>
          <w:rFonts w:ascii="Palatino Linotype" w:hAnsi="Palatino Linotype" w:cs="Palatino Linotype"/>
          <w:color w:val="231F20"/>
          <w:sz w:val="20"/>
          <w:szCs w:val="20"/>
        </w:rPr>
        <w:t>modeling</w:t>
      </w:r>
      <w:proofErr w:type="spellEnd"/>
      <w:r w:rsidRPr="009B6508">
        <w:rPr>
          <w:rFonts w:ascii="Palatino Linotype" w:hAnsi="Palatino Linotype" w:cs="Palatino Linotype"/>
          <w:color w:val="231F20"/>
          <w:sz w:val="20"/>
          <w:szCs w:val="20"/>
        </w:rPr>
        <w:t xml:space="preserve"> of the underlying physiology (Hammer et al., 2006).</w:t>
      </w:r>
    </w:p>
    <w:p w:rsidR="009B6508" w:rsidRPr="009B6508" w:rsidRDefault="009B6508" w:rsidP="009B6508">
      <w:pPr>
        <w:kinsoku w:val="0"/>
        <w:overflowPunct w:val="0"/>
        <w:autoSpaceDE w:val="0"/>
        <w:autoSpaceDN w:val="0"/>
        <w:adjustRightInd w:val="0"/>
        <w:spacing w:before="17" w:after="0" w:line="218" w:lineRule="auto"/>
        <w:ind w:left="39" w:right="360" w:firstLine="373"/>
        <w:jc w:val="both"/>
        <w:rPr>
          <w:rFonts w:ascii="Palatino Linotype" w:hAnsi="Palatino Linotype" w:cs="Palatino Linotype"/>
          <w:color w:val="231F20"/>
          <w:sz w:val="20"/>
          <w:szCs w:val="20"/>
        </w:rPr>
      </w:pPr>
      <w:r w:rsidRPr="009B6508">
        <w:rPr>
          <w:rFonts w:ascii="Palatino Linotype" w:hAnsi="Palatino Linotype" w:cs="Palatino Linotype"/>
          <w:color w:val="231F20"/>
          <w:sz w:val="20"/>
          <w:szCs w:val="20"/>
        </w:rPr>
        <w:t>APSIM-sorghum operates via the dynamic interaction of crop development, crop growth, and crop nitrogen with soil and weather attributes (Fig. 1). Predictive schemas can be separated into crop growth and development dynamics (Fig. 1a) and crop nitrogen dynamics (Fig. 1b) for purposes of description, but the interactions between these major components are critical.</w:t>
      </w:r>
    </w:p>
    <w:p w:rsidR="009B6508" w:rsidRPr="009B6508" w:rsidRDefault="009B6508" w:rsidP="00EF4306">
      <w:pPr>
        <w:kinsoku w:val="0"/>
        <w:overflowPunct w:val="0"/>
        <w:autoSpaceDE w:val="0"/>
        <w:autoSpaceDN w:val="0"/>
        <w:adjustRightInd w:val="0"/>
        <w:spacing w:before="127" w:after="0" w:line="240" w:lineRule="auto"/>
        <w:outlineLvl w:val="0"/>
        <w:rPr>
          <w:rFonts w:ascii="Century Gothic" w:hAnsi="Century Gothic" w:cs="Century Gothic"/>
          <w:color w:val="231F20"/>
        </w:rPr>
      </w:pPr>
      <w:r w:rsidRPr="009B6508">
        <w:rPr>
          <w:rFonts w:ascii="Century Gothic" w:hAnsi="Century Gothic" w:cs="Century Gothic"/>
          <w:color w:val="231F20"/>
        </w:rPr>
        <w:t>Crop Growth and Development Dynamics</w:t>
      </w:r>
    </w:p>
    <w:p w:rsidR="00EF4306" w:rsidRDefault="00EF4306" w:rsidP="009B6508">
      <w:pPr>
        <w:kinsoku w:val="0"/>
        <w:overflowPunct w:val="0"/>
        <w:autoSpaceDE w:val="0"/>
        <w:autoSpaceDN w:val="0"/>
        <w:adjustRightInd w:val="0"/>
        <w:spacing w:before="17" w:after="0" w:line="218" w:lineRule="auto"/>
        <w:ind w:left="39" w:right="360" w:firstLine="373"/>
        <w:jc w:val="both"/>
        <w:rPr>
          <w:rFonts w:ascii="Palatino Linotype" w:hAnsi="Palatino Linotype" w:cs="Palatino Linotype"/>
          <w:color w:val="231F20"/>
          <w:sz w:val="18"/>
          <w:szCs w:val="18"/>
        </w:rPr>
      </w:pPr>
    </w:p>
    <w:p w:rsidR="009B6508" w:rsidRPr="00EF4306" w:rsidRDefault="009B6508" w:rsidP="009B6508">
      <w:pPr>
        <w:kinsoku w:val="0"/>
        <w:overflowPunct w:val="0"/>
        <w:autoSpaceDE w:val="0"/>
        <w:autoSpaceDN w:val="0"/>
        <w:adjustRightInd w:val="0"/>
        <w:spacing w:before="17" w:after="0" w:line="218" w:lineRule="auto"/>
        <w:ind w:left="39" w:right="360" w:firstLine="373"/>
        <w:jc w:val="both"/>
        <w:rPr>
          <w:rFonts w:ascii="Palatino Linotype" w:hAnsi="Palatino Linotype" w:cs="Palatino Linotype"/>
          <w:color w:val="231F20"/>
          <w:sz w:val="20"/>
          <w:szCs w:val="20"/>
        </w:rPr>
      </w:pPr>
      <w:r w:rsidRPr="009B6508">
        <w:rPr>
          <w:rFonts w:ascii="Palatino Linotype" w:hAnsi="Palatino Linotype" w:cs="Palatino Linotype"/>
          <w:color w:val="231F20"/>
          <w:sz w:val="20"/>
          <w:szCs w:val="20"/>
        </w:rPr>
        <w:t xml:space="preserve">Phenology is simulated through a number of development stages by using a </w:t>
      </w:r>
      <w:proofErr w:type="spellStart"/>
      <w:r w:rsidRPr="009B6508">
        <w:rPr>
          <w:rFonts w:ascii="Palatino Linotype" w:hAnsi="Palatino Linotype" w:cs="Palatino Linotype"/>
          <w:color w:val="231F20"/>
          <w:sz w:val="20"/>
          <w:szCs w:val="20"/>
        </w:rPr>
        <w:t>ther</w:t>
      </w:r>
      <w:proofErr w:type="spellEnd"/>
      <w:r w:rsidRPr="009B6508">
        <w:rPr>
          <w:rFonts w:ascii="Palatino Linotype" w:hAnsi="Palatino Linotype" w:cs="Palatino Linotype"/>
          <w:color w:val="231F20"/>
          <w:sz w:val="20"/>
          <w:szCs w:val="20"/>
        </w:rPr>
        <w:t xml:space="preserve"> mal time approach (</w:t>
      </w:r>
      <w:proofErr w:type="spellStart"/>
      <w:r w:rsidRPr="009B6508">
        <w:rPr>
          <w:rFonts w:ascii="Palatino Linotype" w:hAnsi="Palatino Linotype" w:cs="Palatino Linotype"/>
          <w:color w:val="231F20"/>
          <w:sz w:val="20"/>
          <w:szCs w:val="20"/>
        </w:rPr>
        <w:t>Muchow</w:t>
      </w:r>
      <w:proofErr w:type="spellEnd"/>
      <w:r w:rsidRPr="009B6508">
        <w:rPr>
          <w:rFonts w:ascii="Palatino Linotype" w:hAnsi="Palatino Linotype" w:cs="Palatino Linotype"/>
          <w:color w:val="231F20"/>
          <w:sz w:val="20"/>
          <w:szCs w:val="20"/>
        </w:rPr>
        <w:t xml:space="preserve"> and Carberry, 1990; Hammer and </w:t>
      </w:r>
      <w:proofErr w:type="spellStart"/>
      <w:r w:rsidRPr="009B6508">
        <w:rPr>
          <w:rFonts w:ascii="Palatino Linotype" w:hAnsi="Palatino Linotype" w:cs="Palatino Linotype"/>
          <w:color w:val="231F20"/>
          <w:sz w:val="20"/>
          <w:szCs w:val="20"/>
        </w:rPr>
        <w:t>Muchow</w:t>
      </w:r>
      <w:proofErr w:type="spellEnd"/>
      <w:r w:rsidRPr="009B6508">
        <w:rPr>
          <w:rFonts w:ascii="Palatino Linotype" w:hAnsi="Palatino Linotype" w:cs="Palatino Linotype"/>
          <w:color w:val="231F20"/>
          <w:sz w:val="20"/>
          <w:szCs w:val="20"/>
        </w:rPr>
        <w:t xml:space="preserve">, 1994), with the temperature response characterized by a base (Tb), optimum (Topt), and maximum (Tm) temperature. Hammer et al. (1993) and Carberry et al. (1993) reported values of Tb, Topt, and Tm for sorghum of 11, 32, and 42°C, respectively. The thermal time target for the phase between emergence and panicle initiation is also a function of day length (Hammer et al., 1989; Ravi Kumar et al., 2009), and its duration, when divided by the </w:t>
      </w:r>
      <w:proofErr w:type="spellStart"/>
      <w:r w:rsidRPr="009B6508">
        <w:rPr>
          <w:rFonts w:ascii="Palatino Linotype" w:hAnsi="Palatino Linotype" w:cs="Palatino Linotype"/>
          <w:color w:val="231F20"/>
          <w:sz w:val="20"/>
          <w:szCs w:val="20"/>
        </w:rPr>
        <w:t>plastochron</w:t>
      </w:r>
      <w:proofErr w:type="spellEnd"/>
      <w:r w:rsidRPr="009B6508">
        <w:rPr>
          <w:rFonts w:ascii="Palatino Linotype" w:hAnsi="Palatino Linotype" w:cs="Palatino Linotype"/>
          <w:color w:val="231F20"/>
          <w:sz w:val="20"/>
          <w:szCs w:val="20"/>
        </w:rPr>
        <w:t xml:space="preserve"> (°Cd per leaf), determines total leaf </w:t>
      </w:r>
      <w:r w:rsidRPr="009B6508">
        <w:rPr>
          <w:rFonts w:ascii="Palatino Linotype" w:hAnsi="Palatino Linotype" w:cs="Palatino Linotype"/>
          <w:color w:val="231F20"/>
          <w:sz w:val="20"/>
          <w:szCs w:val="20"/>
        </w:rPr>
        <w:lastRenderedPageBreak/>
        <w:t xml:space="preserve">number once an allowance for leaf initials in the embryo has been included. Total leaf number multiplied by the </w:t>
      </w:r>
      <w:proofErr w:type="spellStart"/>
      <w:r w:rsidRPr="009B6508">
        <w:rPr>
          <w:rFonts w:ascii="Palatino Linotype" w:hAnsi="Palatino Linotype" w:cs="Palatino Linotype"/>
          <w:color w:val="231F20"/>
          <w:sz w:val="20"/>
          <w:szCs w:val="20"/>
        </w:rPr>
        <w:t>phyllochron</w:t>
      </w:r>
      <w:proofErr w:type="spellEnd"/>
      <w:r w:rsidRPr="009B6508">
        <w:rPr>
          <w:rFonts w:ascii="Palatino Linotype" w:hAnsi="Palatino Linotype" w:cs="Palatino Linotype"/>
          <w:color w:val="231F20"/>
          <w:sz w:val="20"/>
          <w:szCs w:val="20"/>
        </w:rPr>
        <w:t xml:space="preserve"> (°Cd per leaf) determines the thermal time to reach flag leaf stage, which is thus an emergent property of the</w:t>
      </w:r>
      <w:r w:rsidRPr="00EF4306">
        <w:rPr>
          <w:rFonts w:ascii="Palatino Linotype" w:hAnsi="Palatino Linotype" w:cs="Palatino Linotype"/>
          <w:color w:val="231F20"/>
          <w:sz w:val="20"/>
          <w:szCs w:val="20"/>
        </w:rPr>
        <w:t xml:space="preserve"> </w:t>
      </w:r>
      <w:proofErr w:type="spellStart"/>
      <w:r w:rsidRPr="009B6508">
        <w:rPr>
          <w:rFonts w:ascii="Palatino Linotype" w:hAnsi="Palatino Linotype" w:cs="Palatino Linotype"/>
          <w:color w:val="231F20"/>
          <w:sz w:val="20"/>
          <w:szCs w:val="20"/>
        </w:rPr>
        <w:t>the</w:t>
      </w:r>
      <w:proofErr w:type="spellEnd"/>
      <w:r w:rsidRPr="009B6508">
        <w:rPr>
          <w:rFonts w:ascii="Palatino Linotype" w:hAnsi="Palatino Linotype" w:cs="Palatino Linotype"/>
          <w:color w:val="231F20"/>
          <w:sz w:val="20"/>
          <w:szCs w:val="20"/>
        </w:rPr>
        <w:t xml:space="preserve"> stages of flag leaf, </w:t>
      </w:r>
      <w:proofErr w:type="spellStart"/>
      <w:r w:rsidRPr="009B6508">
        <w:rPr>
          <w:rFonts w:ascii="Palatino Linotype" w:hAnsi="Palatino Linotype" w:cs="Palatino Linotype"/>
          <w:color w:val="231F20"/>
          <w:sz w:val="20"/>
          <w:szCs w:val="20"/>
        </w:rPr>
        <w:t>anthesis</w:t>
      </w:r>
      <w:proofErr w:type="spellEnd"/>
      <w:r w:rsidRPr="009B6508">
        <w:rPr>
          <w:rFonts w:ascii="Palatino Linotype" w:hAnsi="Palatino Linotype" w:cs="Palatino Linotype"/>
          <w:color w:val="231F20"/>
          <w:sz w:val="20"/>
          <w:szCs w:val="20"/>
        </w:rPr>
        <w:t>, and</w:t>
      </w:r>
      <w:r w:rsidRPr="00EF4306">
        <w:rPr>
          <w:rFonts w:ascii="Palatino Linotype" w:hAnsi="Palatino Linotype" w:cs="Palatino Linotype"/>
          <w:color w:val="231F20"/>
          <w:sz w:val="20"/>
          <w:szCs w:val="20"/>
        </w:rPr>
        <w:t xml:space="preserve"> </w:t>
      </w:r>
      <w:r w:rsidRPr="009B6508">
        <w:rPr>
          <w:rFonts w:ascii="Palatino Linotype" w:hAnsi="Palatino Linotype" w:cs="Palatino Linotype"/>
          <w:color w:val="231F20"/>
          <w:sz w:val="20"/>
          <w:szCs w:val="20"/>
        </w:rPr>
        <w:t>start and end of grain filling are also simulated through thermal time targets</w:t>
      </w:r>
      <w:r w:rsidRPr="00EF4306">
        <w:rPr>
          <w:rFonts w:ascii="Palatino Linotype" w:hAnsi="Palatino Linotype" w:cs="Palatino Linotype"/>
          <w:color w:val="231F20"/>
          <w:sz w:val="20"/>
          <w:szCs w:val="20"/>
        </w:rPr>
        <w:t xml:space="preserve"> </w:t>
      </w:r>
      <w:r w:rsidRPr="009B6508">
        <w:rPr>
          <w:rFonts w:ascii="Palatino Linotype" w:hAnsi="Palatino Linotype" w:cs="Palatino Linotype"/>
          <w:color w:val="231F20"/>
          <w:sz w:val="20"/>
          <w:szCs w:val="20"/>
        </w:rPr>
        <w:t>(</w:t>
      </w:r>
      <w:proofErr w:type="spellStart"/>
      <w:r w:rsidRPr="009B6508">
        <w:rPr>
          <w:rFonts w:ascii="Palatino Linotype" w:hAnsi="Palatino Linotype" w:cs="Palatino Linotype"/>
          <w:color w:val="231F20"/>
          <w:sz w:val="20"/>
          <w:szCs w:val="20"/>
        </w:rPr>
        <w:t>Muchow</w:t>
      </w:r>
      <w:proofErr w:type="spellEnd"/>
      <w:r w:rsidRPr="009B6508">
        <w:rPr>
          <w:rFonts w:ascii="Palatino Linotype" w:hAnsi="Palatino Linotype" w:cs="Palatino Linotype"/>
          <w:color w:val="231F20"/>
          <w:sz w:val="20"/>
          <w:szCs w:val="20"/>
        </w:rPr>
        <w:t xml:space="preserve"> and Carberry, 1990; Hammer and </w:t>
      </w:r>
      <w:proofErr w:type="spellStart"/>
      <w:r w:rsidRPr="009B6508">
        <w:rPr>
          <w:rFonts w:ascii="Palatino Linotype" w:hAnsi="Palatino Linotype" w:cs="Palatino Linotype"/>
          <w:color w:val="231F20"/>
          <w:sz w:val="20"/>
          <w:szCs w:val="20"/>
        </w:rPr>
        <w:t>Muchow</w:t>
      </w:r>
      <w:proofErr w:type="spellEnd"/>
      <w:r w:rsidRPr="009B6508">
        <w:rPr>
          <w:rFonts w:ascii="Palatino Linotype" w:hAnsi="Palatino Linotype" w:cs="Palatino Linotype"/>
          <w:color w:val="231F20"/>
          <w:sz w:val="20"/>
          <w:szCs w:val="20"/>
        </w:rPr>
        <w:t>, 1994; Ravi Kumar et al., 2009). Drought stress and N stress can both reduce the leaf appearance rate and hence delay phenology during the vegetative stages (</w:t>
      </w:r>
      <w:proofErr w:type="spellStart"/>
      <w:r w:rsidRPr="009B6508">
        <w:rPr>
          <w:rFonts w:ascii="Palatino Linotype" w:hAnsi="Palatino Linotype" w:cs="Palatino Linotype"/>
          <w:color w:val="231F20"/>
          <w:sz w:val="20"/>
          <w:szCs w:val="20"/>
        </w:rPr>
        <w:t>Craufurd</w:t>
      </w:r>
      <w:proofErr w:type="spellEnd"/>
      <w:r w:rsidRPr="009B6508">
        <w:rPr>
          <w:rFonts w:ascii="Palatino Linotype" w:hAnsi="Palatino Linotype" w:cs="Palatino Linotype"/>
          <w:color w:val="231F20"/>
          <w:sz w:val="20"/>
          <w:szCs w:val="20"/>
        </w:rPr>
        <w:t xml:space="preserve"> et al., 1993; van Oosterom et al., 2010a).</w:t>
      </w:r>
    </w:p>
    <w:p w:rsidR="009B6508" w:rsidRPr="009B6508" w:rsidRDefault="009B6508" w:rsidP="009B6508">
      <w:pPr>
        <w:kinsoku w:val="0"/>
        <w:overflowPunct w:val="0"/>
        <w:autoSpaceDE w:val="0"/>
        <w:autoSpaceDN w:val="0"/>
        <w:adjustRightInd w:val="0"/>
        <w:spacing w:before="17" w:after="0" w:line="218" w:lineRule="auto"/>
        <w:ind w:left="39" w:right="360" w:firstLine="373"/>
        <w:jc w:val="both"/>
        <w:rPr>
          <w:rFonts w:ascii="Palatino Linotype" w:hAnsi="Palatino Linotype" w:cs="Palatino Linotype"/>
          <w:color w:val="231F20"/>
          <w:sz w:val="20"/>
          <w:szCs w:val="20"/>
        </w:rPr>
      </w:pPr>
      <w:r w:rsidRPr="009B6508">
        <w:rPr>
          <w:rFonts w:ascii="Palatino Linotype" w:hAnsi="Palatino Linotype" w:cs="Palatino Linotype"/>
          <w:color w:val="231F20"/>
          <w:sz w:val="20"/>
          <w:szCs w:val="20"/>
        </w:rPr>
        <w:t>Canopy development is simulated on a whole plant basis through a relation- ship between total plant leaf area (TPLA) and thermal time. The TPLA integrates the number of fully expanded leaves, their individual size, and tiller number, and includes an adjustment for the area of expanding leaves (Hammer et al., 1993). The object-oriented design of the software provides flexibility to readily model canopy development by using other options, such as via leaf size distribution (Carberry et al., 1993; van Oosterom et al., 2001), or from extension rate of each leaf (Chenu et al., 2008). The number of fully expanded leaves is the product of thermal time elapsed since emergence and the leaf appearance rate. Actual crop leaf area is the product of plant density and leaf area per plant. Green leaf area index (LAI) is the difference between the total plant leaf area and the senesced leaf area. Under drought</w:t>
      </w:r>
      <w:r w:rsidRPr="00EF4306">
        <w:rPr>
          <w:rFonts w:ascii="Palatino Linotype" w:hAnsi="Palatino Linotype" w:cs="Palatino Linotype"/>
          <w:color w:val="231F20"/>
          <w:sz w:val="20"/>
          <w:szCs w:val="20"/>
        </w:rPr>
        <w:t xml:space="preserve"> s</w:t>
      </w:r>
      <w:r w:rsidRPr="009B6508">
        <w:rPr>
          <w:rFonts w:ascii="Palatino Linotype" w:hAnsi="Palatino Linotype" w:cs="Palatino Linotype"/>
          <w:color w:val="231F20"/>
          <w:sz w:val="20"/>
          <w:szCs w:val="20"/>
        </w:rPr>
        <w:t>tress, the crop will initially cease expanding new leaves, thus reducing transpiration demand, and then commence senescing leaves until demand for transpiration no longer exceeds supply from uptake (Hammer et al., 2001b).</w:t>
      </w:r>
    </w:p>
    <w:p w:rsidR="009B6508" w:rsidRPr="009B6508" w:rsidRDefault="009B6508" w:rsidP="009B6508">
      <w:pPr>
        <w:kinsoku w:val="0"/>
        <w:overflowPunct w:val="0"/>
        <w:autoSpaceDE w:val="0"/>
        <w:autoSpaceDN w:val="0"/>
        <w:adjustRightInd w:val="0"/>
        <w:spacing w:before="17" w:after="0" w:line="218" w:lineRule="auto"/>
        <w:ind w:left="39" w:right="360" w:firstLine="373"/>
        <w:jc w:val="both"/>
        <w:rPr>
          <w:rFonts w:ascii="Palatino Linotype" w:hAnsi="Palatino Linotype" w:cs="Palatino Linotype"/>
          <w:color w:val="231F20"/>
          <w:sz w:val="20"/>
          <w:szCs w:val="20"/>
        </w:rPr>
      </w:pPr>
      <w:r w:rsidRPr="009B6508">
        <w:rPr>
          <w:rFonts w:ascii="Palatino Linotype" w:hAnsi="Palatino Linotype" w:cs="Palatino Linotype"/>
          <w:color w:val="231F20"/>
          <w:sz w:val="20"/>
          <w:szCs w:val="20"/>
        </w:rPr>
        <w:t>Aboveground biomass accumulation is simulated as the minimum of light- limited or water-limited growth. In the absence of water limitation, biomass accumulation is the product of the amount of intercepted radiation (IR) and its conversion efficiency, the radiation use efficiency (RUE). The fraction of incident radiation intercepted is a function of the LAI and the canopy extinction coefficient (k), which is a measure of canopy structure (Lafarge and Hammer, 2002). The effects of N supply on crop growth are implicitly incorporated in this approach. Nitrogen limitation will reduce leaf area growth and hence LAI and IR. It can also reduce RUE, which is a function of the N status of the leaves (</w:t>
      </w:r>
      <w:proofErr w:type="spellStart"/>
      <w:r w:rsidRPr="009B6508">
        <w:rPr>
          <w:rFonts w:ascii="Palatino Linotype" w:hAnsi="Palatino Linotype" w:cs="Palatino Linotype"/>
          <w:color w:val="231F20"/>
          <w:sz w:val="20"/>
          <w:szCs w:val="20"/>
        </w:rPr>
        <w:t>Muchow</w:t>
      </w:r>
      <w:proofErr w:type="spellEnd"/>
      <w:r w:rsidRPr="009B6508">
        <w:rPr>
          <w:rFonts w:ascii="Palatino Linotype" w:hAnsi="Palatino Linotype" w:cs="Palatino Linotype"/>
          <w:color w:val="231F20"/>
          <w:sz w:val="20"/>
          <w:szCs w:val="20"/>
        </w:rPr>
        <w:t xml:space="preserve"> and Sinclair, 1994; Sinclair and Amir, 1992). Sinclair and </w:t>
      </w:r>
      <w:proofErr w:type="spellStart"/>
      <w:r w:rsidRPr="009B6508">
        <w:rPr>
          <w:rFonts w:ascii="Palatino Linotype" w:hAnsi="Palatino Linotype" w:cs="Palatino Linotype"/>
          <w:color w:val="231F20"/>
          <w:sz w:val="20"/>
          <w:szCs w:val="20"/>
        </w:rPr>
        <w:t>Muchow</w:t>
      </w:r>
      <w:proofErr w:type="spellEnd"/>
      <w:r w:rsidRPr="009B6508">
        <w:rPr>
          <w:rFonts w:ascii="Palatino Linotype" w:hAnsi="Palatino Linotype" w:cs="Palatino Linotype"/>
          <w:color w:val="231F20"/>
          <w:sz w:val="20"/>
          <w:szCs w:val="20"/>
        </w:rPr>
        <w:t xml:space="preserve"> (1998) reviewed studies that had measured RUE in many crops and noted a consistent </w:t>
      </w:r>
      <w:r w:rsidRPr="009B6508">
        <w:rPr>
          <w:rFonts w:ascii="Palatino Linotype" w:hAnsi="Palatino Linotype" w:cs="Palatino Linotype"/>
          <w:color w:val="231F20"/>
          <w:sz w:val="20"/>
          <w:szCs w:val="20"/>
        </w:rPr>
        <w:lastRenderedPageBreak/>
        <w:t xml:space="preserve">value of 1.25 g MJ−1 for triple-dwarf sorghum under optimum growing conditions. The flexibility of the object-oriented template also allows simulation of crop biomass accumulation via diurnal canopy photosynthesis models where this is required, as in the stud- </w:t>
      </w:r>
      <w:proofErr w:type="spellStart"/>
      <w:r w:rsidRPr="009B6508">
        <w:rPr>
          <w:rFonts w:ascii="Palatino Linotype" w:hAnsi="Palatino Linotype" w:cs="Palatino Linotype"/>
          <w:color w:val="231F20"/>
          <w:sz w:val="20"/>
          <w:szCs w:val="20"/>
        </w:rPr>
        <w:t>ies</w:t>
      </w:r>
      <w:proofErr w:type="spellEnd"/>
      <w:r w:rsidRPr="009B6508">
        <w:rPr>
          <w:rFonts w:ascii="Palatino Linotype" w:hAnsi="Palatino Linotype" w:cs="Palatino Linotype"/>
          <w:color w:val="231F20"/>
          <w:sz w:val="20"/>
          <w:szCs w:val="20"/>
        </w:rPr>
        <w:t xml:space="preserve"> of Sinclair et al. (2005) and Hammer et al. (2009).</w:t>
      </w:r>
    </w:p>
    <w:p w:rsidR="009B6508" w:rsidRPr="009B6508" w:rsidRDefault="009B6508" w:rsidP="009B6508">
      <w:pPr>
        <w:kinsoku w:val="0"/>
        <w:overflowPunct w:val="0"/>
        <w:autoSpaceDE w:val="0"/>
        <w:autoSpaceDN w:val="0"/>
        <w:adjustRightInd w:val="0"/>
        <w:spacing w:before="17" w:after="0" w:line="218" w:lineRule="auto"/>
        <w:ind w:left="39" w:right="360" w:firstLine="373"/>
        <w:jc w:val="both"/>
        <w:rPr>
          <w:rFonts w:ascii="Palatino Linotype" w:hAnsi="Palatino Linotype" w:cs="Palatino Linotype"/>
          <w:color w:val="231F20"/>
          <w:sz w:val="20"/>
          <w:szCs w:val="20"/>
        </w:rPr>
      </w:pPr>
      <w:r w:rsidRPr="009B6508">
        <w:rPr>
          <w:rFonts w:ascii="Palatino Linotype" w:hAnsi="Palatino Linotype" w:cs="Palatino Linotype"/>
          <w:color w:val="231F20"/>
          <w:sz w:val="20"/>
          <w:szCs w:val="20"/>
        </w:rPr>
        <w:t xml:space="preserve">Under water limitation, aboveground biomass accumulation is the product of realized transpiration and its conversion efficiency, biomass produced per unit of water transpired, or transpiration efficiency (TE). It is necessary to adjust TE to allow for the prevailing </w:t>
      </w:r>
      <w:proofErr w:type="spellStart"/>
      <w:r w:rsidRPr="009B6508">
        <w:rPr>
          <w:rFonts w:ascii="Palatino Linotype" w:hAnsi="Palatino Linotype" w:cs="Palatino Linotype"/>
          <w:color w:val="231F20"/>
          <w:sz w:val="20"/>
          <w:szCs w:val="20"/>
        </w:rPr>
        <w:t>vapor</w:t>
      </w:r>
      <w:proofErr w:type="spellEnd"/>
      <w:r w:rsidRPr="009B6508">
        <w:rPr>
          <w:rFonts w:ascii="Palatino Linotype" w:hAnsi="Palatino Linotype" w:cs="Palatino Linotype"/>
          <w:color w:val="231F20"/>
          <w:sz w:val="20"/>
          <w:szCs w:val="20"/>
        </w:rPr>
        <w:t xml:space="preserve"> pressure deficit (</w:t>
      </w:r>
      <w:proofErr w:type="spellStart"/>
      <w:r w:rsidRPr="009B6508">
        <w:rPr>
          <w:rFonts w:ascii="Palatino Linotype" w:hAnsi="Palatino Linotype" w:cs="Palatino Linotype"/>
          <w:color w:val="231F20"/>
          <w:sz w:val="20"/>
          <w:szCs w:val="20"/>
        </w:rPr>
        <w:t>vpd</w:t>
      </w:r>
      <w:proofErr w:type="spellEnd"/>
      <w:r w:rsidRPr="009B6508">
        <w:rPr>
          <w:rFonts w:ascii="Palatino Linotype" w:hAnsi="Palatino Linotype" w:cs="Palatino Linotype"/>
          <w:color w:val="231F20"/>
          <w:sz w:val="20"/>
          <w:szCs w:val="20"/>
        </w:rPr>
        <w:t xml:space="preserve">) (Tanner and Sinclair, 1983; </w:t>
      </w:r>
      <w:proofErr w:type="spellStart"/>
      <w:r w:rsidRPr="009B6508">
        <w:rPr>
          <w:rFonts w:ascii="Palatino Linotype" w:hAnsi="Palatino Linotype" w:cs="Palatino Linotype"/>
          <w:color w:val="231F20"/>
          <w:sz w:val="20"/>
          <w:szCs w:val="20"/>
        </w:rPr>
        <w:t>Kemanian</w:t>
      </w:r>
      <w:proofErr w:type="spellEnd"/>
      <w:r w:rsidRPr="009B6508">
        <w:rPr>
          <w:rFonts w:ascii="Palatino Linotype" w:hAnsi="Palatino Linotype" w:cs="Palatino Linotype"/>
          <w:color w:val="231F20"/>
          <w:sz w:val="20"/>
          <w:szCs w:val="20"/>
        </w:rPr>
        <w:t xml:space="preserve"> et al., 2005). Numerous studies in sorghum (Tanner and Sinclair, 1983; Hammer et al., 1997) have found a standard value of 9 Pa for the TE coefficient in sorghum, so that at a </w:t>
      </w:r>
      <w:proofErr w:type="spellStart"/>
      <w:r w:rsidRPr="009B6508">
        <w:rPr>
          <w:rFonts w:ascii="Palatino Linotype" w:hAnsi="Palatino Linotype" w:cs="Palatino Linotype"/>
          <w:color w:val="231F20"/>
          <w:sz w:val="20"/>
          <w:szCs w:val="20"/>
        </w:rPr>
        <w:t>vpd</w:t>
      </w:r>
      <w:proofErr w:type="spellEnd"/>
      <w:r w:rsidRPr="009B6508">
        <w:rPr>
          <w:rFonts w:ascii="Palatino Linotype" w:hAnsi="Palatino Linotype" w:cs="Palatino Linotype"/>
          <w:color w:val="231F20"/>
          <w:sz w:val="20"/>
          <w:szCs w:val="20"/>
        </w:rPr>
        <w:t xml:space="preserve"> of 2 </w:t>
      </w:r>
      <w:proofErr w:type="spellStart"/>
      <w:r w:rsidRPr="009B6508">
        <w:rPr>
          <w:rFonts w:ascii="Palatino Linotype" w:hAnsi="Palatino Linotype" w:cs="Palatino Linotype"/>
          <w:color w:val="231F20"/>
          <w:sz w:val="20"/>
          <w:szCs w:val="20"/>
        </w:rPr>
        <w:t>kPa</w:t>
      </w:r>
      <w:proofErr w:type="spellEnd"/>
      <w:r w:rsidRPr="009B6508">
        <w:rPr>
          <w:rFonts w:ascii="Palatino Linotype" w:hAnsi="Palatino Linotype" w:cs="Palatino Linotype"/>
          <w:color w:val="231F20"/>
          <w:sz w:val="20"/>
          <w:szCs w:val="20"/>
        </w:rPr>
        <w:t xml:space="preserve"> a TE of 4.5 gm−2 mm−1 results. The water sup- ply accessible to the plant depends on the effective rooting depth and the rate at which soil water can be extracted from the soil by the roots. The potential extraction rate is related to the soil water content via an exponential function, parameterized via an extraction decay constant (kl) that incorporates effects of both soil hydraulic conductivity and root length density on water uptake (</w:t>
      </w:r>
      <w:proofErr w:type="spellStart"/>
      <w:r w:rsidRPr="009B6508">
        <w:rPr>
          <w:rFonts w:ascii="Palatino Linotype" w:hAnsi="Palatino Linotype" w:cs="Palatino Linotype"/>
          <w:color w:val="231F20"/>
          <w:sz w:val="20"/>
          <w:szCs w:val="20"/>
        </w:rPr>
        <w:t>Passioura</w:t>
      </w:r>
      <w:proofErr w:type="spellEnd"/>
      <w:r w:rsidRPr="009B6508">
        <w:rPr>
          <w:rFonts w:ascii="Palatino Linotype" w:hAnsi="Palatino Linotype" w:cs="Palatino Linotype"/>
          <w:color w:val="231F20"/>
          <w:sz w:val="20"/>
          <w:szCs w:val="20"/>
        </w:rPr>
        <w:t xml:space="preserve">, 1983; </w:t>
      </w:r>
      <w:proofErr w:type="spellStart"/>
      <w:r w:rsidRPr="009B6508">
        <w:rPr>
          <w:rFonts w:ascii="Palatino Linotype" w:hAnsi="Palatino Linotype" w:cs="Palatino Linotype"/>
          <w:color w:val="231F20"/>
          <w:sz w:val="20"/>
          <w:szCs w:val="20"/>
        </w:rPr>
        <w:t>Monteith</w:t>
      </w:r>
      <w:proofErr w:type="spellEnd"/>
      <w:r w:rsidRPr="009B6508">
        <w:rPr>
          <w:rFonts w:ascii="Palatino Linotype" w:hAnsi="Palatino Linotype" w:cs="Palatino Linotype"/>
          <w:color w:val="231F20"/>
          <w:sz w:val="20"/>
          <w:szCs w:val="20"/>
        </w:rPr>
        <w:t xml:space="preserve">, 1986; Robertson et al., 1993; Hammer et al., 2001b). Water extraction occurs from multiple layers, and the total extraction is the sum of that calculated for individual layers. As RUE and TE are based on aboveground bio- mass only, root mass is not explicitly </w:t>
      </w:r>
      <w:proofErr w:type="spellStart"/>
      <w:r w:rsidRPr="009B6508">
        <w:rPr>
          <w:rFonts w:ascii="Palatino Linotype" w:hAnsi="Palatino Linotype" w:cs="Palatino Linotype"/>
          <w:color w:val="231F20"/>
          <w:sz w:val="20"/>
          <w:szCs w:val="20"/>
        </w:rPr>
        <w:t>modeled</w:t>
      </w:r>
      <w:proofErr w:type="spellEnd"/>
      <w:r w:rsidRPr="009B6508">
        <w:rPr>
          <w:rFonts w:ascii="Palatino Linotype" w:hAnsi="Palatino Linotype" w:cs="Palatino Linotype"/>
          <w:color w:val="231F20"/>
          <w:sz w:val="20"/>
          <w:szCs w:val="20"/>
        </w:rPr>
        <w:t xml:space="preserve">, but is added to the aboveground biomass accumulation according to a root/shoot ratio that declines with </w:t>
      </w:r>
      <w:proofErr w:type="spellStart"/>
      <w:r w:rsidRPr="009B6508">
        <w:rPr>
          <w:rFonts w:ascii="Palatino Linotype" w:hAnsi="Palatino Linotype" w:cs="Palatino Linotype"/>
          <w:color w:val="231F20"/>
          <w:sz w:val="20"/>
          <w:szCs w:val="20"/>
        </w:rPr>
        <w:t>succes</w:t>
      </w:r>
      <w:proofErr w:type="spellEnd"/>
      <w:r w:rsidRPr="009B6508">
        <w:rPr>
          <w:rFonts w:ascii="Palatino Linotype" w:hAnsi="Palatino Linotype" w:cs="Palatino Linotype"/>
          <w:color w:val="231F20"/>
          <w:sz w:val="20"/>
          <w:szCs w:val="20"/>
        </w:rPr>
        <w:t xml:space="preserve"> </w:t>
      </w:r>
      <w:proofErr w:type="spellStart"/>
      <w:r w:rsidRPr="009B6508">
        <w:rPr>
          <w:rFonts w:ascii="Palatino Linotype" w:hAnsi="Palatino Linotype" w:cs="Palatino Linotype"/>
          <w:color w:val="231F20"/>
          <w:sz w:val="20"/>
          <w:szCs w:val="20"/>
        </w:rPr>
        <w:t>sive</w:t>
      </w:r>
      <w:proofErr w:type="spellEnd"/>
      <w:r w:rsidRPr="009B6508">
        <w:rPr>
          <w:rFonts w:ascii="Palatino Linotype" w:hAnsi="Palatino Linotype" w:cs="Palatino Linotype"/>
          <w:color w:val="231F20"/>
          <w:sz w:val="20"/>
          <w:szCs w:val="20"/>
        </w:rPr>
        <w:t xml:space="preserve"> growth stages of the crop.</w:t>
      </w:r>
    </w:p>
    <w:p w:rsidR="009B6508" w:rsidRPr="009B6508" w:rsidRDefault="009B6508" w:rsidP="009B6508">
      <w:pPr>
        <w:kinsoku w:val="0"/>
        <w:overflowPunct w:val="0"/>
        <w:autoSpaceDE w:val="0"/>
        <w:autoSpaceDN w:val="0"/>
        <w:adjustRightInd w:val="0"/>
        <w:spacing w:before="2" w:after="0" w:line="218" w:lineRule="auto"/>
        <w:ind w:left="124" w:right="354" w:firstLine="362"/>
        <w:jc w:val="both"/>
        <w:rPr>
          <w:rFonts w:ascii="Palatino Linotype" w:hAnsi="Palatino Linotype" w:cs="Palatino Linotype"/>
          <w:color w:val="231F20"/>
          <w:sz w:val="20"/>
          <w:szCs w:val="20"/>
        </w:rPr>
      </w:pPr>
      <w:r w:rsidRPr="009B6508">
        <w:rPr>
          <w:rFonts w:ascii="Palatino Linotype" w:hAnsi="Palatino Linotype" w:cs="Palatino Linotype"/>
          <w:color w:val="231F20"/>
          <w:sz w:val="20"/>
          <w:szCs w:val="20"/>
        </w:rPr>
        <w:t xml:space="preserve">Daily aboveground biomass accumulation is partitioned to plant parts in ratios that depend on the growth stage of the crop via functions that have been found to describe these ratios well (Jones and </w:t>
      </w:r>
      <w:proofErr w:type="spellStart"/>
      <w:r w:rsidRPr="009B6508">
        <w:rPr>
          <w:rFonts w:ascii="Palatino Linotype" w:hAnsi="Palatino Linotype" w:cs="Palatino Linotype"/>
          <w:color w:val="231F20"/>
          <w:sz w:val="20"/>
          <w:szCs w:val="20"/>
        </w:rPr>
        <w:t>Kiniry</w:t>
      </w:r>
      <w:proofErr w:type="spellEnd"/>
      <w:r w:rsidRPr="009B6508">
        <w:rPr>
          <w:rFonts w:ascii="Palatino Linotype" w:hAnsi="Palatino Linotype" w:cs="Palatino Linotype"/>
          <w:color w:val="231F20"/>
          <w:sz w:val="20"/>
          <w:szCs w:val="20"/>
        </w:rPr>
        <w:t xml:space="preserve">, 1986). Before the flag leaf stage, new biomass is allocated to stem and leaves. Leaves are partitioned a </w:t>
      </w:r>
      <w:proofErr w:type="spellStart"/>
      <w:r w:rsidRPr="009B6508">
        <w:rPr>
          <w:rFonts w:ascii="Palatino Linotype" w:hAnsi="Palatino Linotype" w:cs="Palatino Linotype"/>
          <w:color w:val="231F20"/>
          <w:sz w:val="20"/>
          <w:szCs w:val="20"/>
        </w:rPr>
        <w:t>frac</w:t>
      </w:r>
      <w:proofErr w:type="spellEnd"/>
      <w:r w:rsidRPr="009B6508">
        <w:rPr>
          <w:rFonts w:ascii="Palatino Linotype" w:hAnsi="Palatino Linotype" w:cs="Palatino Linotype"/>
          <w:color w:val="231F20"/>
          <w:sz w:val="20"/>
          <w:szCs w:val="20"/>
        </w:rPr>
        <w:t xml:space="preserve">- </w:t>
      </w:r>
      <w:proofErr w:type="spellStart"/>
      <w:r w:rsidRPr="009B6508">
        <w:rPr>
          <w:rFonts w:ascii="Palatino Linotype" w:hAnsi="Palatino Linotype" w:cs="Palatino Linotype"/>
          <w:color w:val="231F20"/>
          <w:sz w:val="20"/>
          <w:szCs w:val="20"/>
        </w:rPr>
        <w:t>tion</w:t>
      </w:r>
      <w:proofErr w:type="spellEnd"/>
      <w:r w:rsidRPr="009B6508">
        <w:rPr>
          <w:rFonts w:ascii="Palatino Linotype" w:hAnsi="Palatino Linotype" w:cs="Palatino Linotype"/>
          <w:color w:val="231F20"/>
          <w:sz w:val="20"/>
          <w:szCs w:val="20"/>
        </w:rPr>
        <w:t xml:space="preserve"> that decreases with increasing node number up to a maximum absolute allocation to leaf that is set by the ratio of the new leaf area to be grown (described above) and a minimum specific leaf area (cm2 g−1). The remaining biomass is par- </w:t>
      </w:r>
      <w:proofErr w:type="spellStart"/>
      <w:r w:rsidRPr="009B6508">
        <w:rPr>
          <w:rFonts w:ascii="Palatino Linotype" w:hAnsi="Palatino Linotype" w:cs="Palatino Linotype"/>
          <w:color w:val="231F20"/>
          <w:sz w:val="20"/>
          <w:szCs w:val="20"/>
        </w:rPr>
        <w:t>titioned</w:t>
      </w:r>
      <w:proofErr w:type="spellEnd"/>
      <w:r w:rsidRPr="009B6508">
        <w:rPr>
          <w:rFonts w:ascii="Palatino Linotype" w:hAnsi="Palatino Linotype" w:cs="Palatino Linotype"/>
          <w:color w:val="231F20"/>
          <w:sz w:val="20"/>
          <w:szCs w:val="20"/>
        </w:rPr>
        <w:t xml:space="preserve"> to stem and rachis. The stem fraction incorporates leaf sheaths, but a distinct allocation to rachis commences after panicle initiation. Between flag leaf and </w:t>
      </w:r>
      <w:proofErr w:type="spellStart"/>
      <w:r w:rsidRPr="009B6508">
        <w:rPr>
          <w:rFonts w:ascii="Palatino Linotype" w:hAnsi="Palatino Linotype" w:cs="Palatino Linotype"/>
          <w:color w:val="231F20"/>
          <w:sz w:val="20"/>
          <w:szCs w:val="20"/>
        </w:rPr>
        <w:t>anthesis</w:t>
      </w:r>
      <w:proofErr w:type="spellEnd"/>
      <w:r w:rsidRPr="009B6508">
        <w:rPr>
          <w:rFonts w:ascii="Palatino Linotype" w:hAnsi="Palatino Linotype" w:cs="Palatino Linotype"/>
          <w:color w:val="231F20"/>
          <w:sz w:val="20"/>
          <w:szCs w:val="20"/>
        </w:rPr>
        <w:t>, accumulated biomass is allocated to the stem and rachis in a fixed ratio.</w:t>
      </w:r>
    </w:p>
    <w:p w:rsidR="009B6508" w:rsidRPr="00EF4306" w:rsidRDefault="009B6508" w:rsidP="009B6508">
      <w:pPr>
        <w:kinsoku w:val="0"/>
        <w:overflowPunct w:val="0"/>
        <w:autoSpaceDE w:val="0"/>
        <w:autoSpaceDN w:val="0"/>
        <w:adjustRightInd w:val="0"/>
        <w:spacing w:before="9" w:after="0" w:line="218" w:lineRule="auto"/>
        <w:ind w:left="128" w:right="354" w:firstLine="358"/>
        <w:jc w:val="both"/>
        <w:rPr>
          <w:rFonts w:ascii="Palatino Linotype" w:hAnsi="Palatino Linotype" w:cs="Palatino Linotype"/>
          <w:color w:val="231F20"/>
          <w:sz w:val="20"/>
          <w:szCs w:val="20"/>
        </w:rPr>
      </w:pPr>
      <w:r w:rsidRPr="009B6508">
        <w:rPr>
          <w:rFonts w:ascii="Palatino Linotype" w:hAnsi="Palatino Linotype" w:cs="Palatino Linotype"/>
          <w:color w:val="231F20"/>
          <w:sz w:val="20"/>
          <w:szCs w:val="20"/>
        </w:rPr>
        <w:t xml:space="preserve">Grain yield is simulated as the product of grain number and grain size. Maximum grain number is a function of the change in </w:t>
      </w:r>
      <w:r w:rsidRPr="009B6508">
        <w:rPr>
          <w:rFonts w:ascii="Palatino Linotype" w:hAnsi="Palatino Linotype" w:cs="Palatino Linotype"/>
          <w:color w:val="231F20"/>
          <w:sz w:val="20"/>
          <w:szCs w:val="20"/>
        </w:rPr>
        <w:lastRenderedPageBreak/>
        <w:t>plant biomass between panicle</w:t>
      </w:r>
      <w:r w:rsidRPr="00EF4306">
        <w:rPr>
          <w:rFonts w:ascii="Palatino Linotype" w:hAnsi="Palatino Linotype" w:cs="Palatino Linotype"/>
          <w:color w:val="231F20"/>
          <w:sz w:val="20"/>
          <w:szCs w:val="20"/>
        </w:rPr>
        <w:t xml:space="preserve"> </w:t>
      </w:r>
      <w:r w:rsidRPr="009B6508">
        <w:rPr>
          <w:rFonts w:ascii="Palatino Linotype" w:hAnsi="Palatino Linotype" w:cs="Palatino Linotype"/>
          <w:color w:val="231F20"/>
          <w:sz w:val="20"/>
          <w:szCs w:val="20"/>
        </w:rPr>
        <w:t xml:space="preserve">initiation and start grain filling (Rosenthal et al., 1989), while grain size is deter- mined by grain growth rate, effective grain filling period, and redistribution of assimilates </w:t>
      </w:r>
      <w:proofErr w:type="spellStart"/>
      <w:r w:rsidRPr="009B6508">
        <w:rPr>
          <w:rFonts w:ascii="Palatino Linotype" w:hAnsi="Palatino Linotype" w:cs="Palatino Linotype"/>
          <w:color w:val="231F20"/>
          <w:sz w:val="20"/>
          <w:szCs w:val="20"/>
        </w:rPr>
        <w:t>postanthesis</w:t>
      </w:r>
      <w:proofErr w:type="spellEnd"/>
      <w:r w:rsidRPr="009B6508">
        <w:rPr>
          <w:rFonts w:ascii="Palatino Linotype" w:hAnsi="Palatino Linotype" w:cs="Palatino Linotype"/>
          <w:color w:val="231F20"/>
          <w:sz w:val="20"/>
          <w:szCs w:val="20"/>
        </w:rPr>
        <w:t xml:space="preserve"> (</w:t>
      </w:r>
      <w:proofErr w:type="spellStart"/>
      <w:r w:rsidRPr="009B6508">
        <w:rPr>
          <w:rFonts w:ascii="Palatino Linotype" w:hAnsi="Palatino Linotype" w:cs="Palatino Linotype"/>
          <w:color w:val="231F20"/>
          <w:sz w:val="20"/>
          <w:szCs w:val="20"/>
        </w:rPr>
        <w:t>Heiniger</w:t>
      </w:r>
      <w:proofErr w:type="spellEnd"/>
      <w:r w:rsidRPr="009B6508">
        <w:rPr>
          <w:rFonts w:ascii="Palatino Linotype" w:hAnsi="Palatino Linotype" w:cs="Palatino Linotype"/>
          <w:color w:val="231F20"/>
          <w:sz w:val="20"/>
          <w:szCs w:val="20"/>
        </w:rPr>
        <w:t xml:space="preserve"> et al., 1997b). If grain mass demand for a day exceeds the daily increase in biomass, the shortfall will first be met through translocation from stem and, if that is insufficient to meet demand of the grain, through translocation from leaves, accelerating their senescence. Conversely, if the daily increase in biomass exceeds the grain mass demand, the excess biomass production is allocated to the stem.</w:t>
      </w:r>
    </w:p>
    <w:p w:rsidR="009B6508" w:rsidRDefault="009B6508" w:rsidP="009B6508">
      <w:pPr>
        <w:kinsoku w:val="0"/>
        <w:overflowPunct w:val="0"/>
        <w:autoSpaceDE w:val="0"/>
        <w:autoSpaceDN w:val="0"/>
        <w:adjustRightInd w:val="0"/>
        <w:spacing w:before="9" w:after="0" w:line="218" w:lineRule="auto"/>
        <w:ind w:left="128" w:right="354" w:firstLine="358"/>
        <w:jc w:val="both"/>
        <w:rPr>
          <w:rFonts w:ascii="Palatino Linotype" w:hAnsi="Palatino Linotype" w:cs="Palatino Linotype"/>
          <w:color w:val="231F20"/>
          <w:sz w:val="18"/>
          <w:szCs w:val="18"/>
        </w:rPr>
      </w:pPr>
    </w:p>
    <w:p w:rsidR="00EF4306" w:rsidRPr="009B6508" w:rsidRDefault="009B6508" w:rsidP="00EF4306">
      <w:pPr>
        <w:kinsoku w:val="0"/>
        <w:overflowPunct w:val="0"/>
        <w:autoSpaceDE w:val="0"/>
        <w:autoSpaceDN w:val="0"/>
        <w:adjustRightInd w:val="0"/>
        <w:spacing w:before="122" w:after="0" w:line="240" w:lineRule="auto"/>
        <w:outlineLvl w:val="0"/>
        <w:rPr>
          <w:rFonts w:ascii="Century Gothic" w:hAnsi="Century Gothic" w:cs="Century Gothic"/>
          <w:color w:val="231F20"/>
        </w:rPr>
      </w:pPr>
      <w:r w:rsidRPr="009B6508">
        <w:rPr>
          <w:rFonts w:ascii="Century Gothic" w:hAnsi="Century Gothic" w:cs="Century Gothic"/>
          <w:color w:val="231F20"/>
        </w:rPr>
        <w:t>Crop Nitrogen Dynamics</w:t>
      </w:r>
    </w:p>
    <w:p w:rsidR="00EF4306" w:rsidRDefault="00EF4306" w:rsidP="009B6508">
      <w:pPr>
        <w:kinsoku w:val="0"/>
        <w:overflowPunct w:val="0"/>
        <w:autoSpaceDE w:val="0"/>
        <w:autoSpaceDN w:val="0"/>
        <w:adjustRightInd w:val="0"/>
        <w:spacing w:before="9" w:after="0" w:line="218" w:lineRule="auto"/>
        <w:ind w:left="128" w:right="354" w:firstLine="358"/>
        <w:jc w:val="both"/>
        <w:rPr>
          <w:rFonts w:ascii="Palatino Linotype" w:hAnsi="Palatino Linotype" w:cs="Palatino Linotype"/>
          <w:color w:val="231F20"/>
          <w:sz w:val="20"/>
          <w:szCs w:val="20"/>
        </w:rPr>
      </w:pPr>
    </w:p>
    <w:p w:rsidR="009B6508" w:rsidRPr="009B6508" w:rsidRDefault="009B6508" w:rsidP="009B6508">
      <w:pPr>
        <w:kinsoku w:val="0"/>
        <w:overflowPunct w:val="0"/>
        <w:autoSpaceDE w:val="0"/>
        <w:autoSpaceDN w:val="0"/>
        <w:adjustRightInd w:val="0"/>
        <w:spacing w:before="9" w:after="0" w:line="218" w:lineRule="auto"/>
        <w:ind w:left="128" w:right="354" w:firstLine="358"/>
        <w:jc w:val="both"/>
        <w:rPr>
          <w:rFonts w:ascii="Palatino Linotype" w:hAnsi="Palatino Linotype" w:cs="Palatino Linotype"/>
          <w:color w:val="231F20"/>
          <w:sz w:val="20"/>
          <w:szCs w:val="20"/>
        </w:rPr>
      </w:pPr>
      <w:r w:rsidRPr="009B6508">
        <w:rPr>
          <w:rFonts w:ascii="Palatino Linotype" w:hAnsi="Palatino Linotype" w:cs="Palatino Linotype"/>
          <w:color w:val="231F20"/>
          <w:sz w:val="20"/>
          <w:szCs w:val="20"/>
        </w:rPr>
        <w:t xml:space="preserve">Crop N dynamics are </w:t>
      </w:r>
      <w:proofErr w:type="spellStart"/>
      <w:r w:rsidRPr="009B6508">
        <w:rPr>
          <w:rFonts w:ascii="Palatino Linotype" w:hAnsi="Palatino Linotype" w:cs="Palatino Linotype"/>
          <w:color w:val="231F20"/>
          <w:sz w:val="20"/>
          <w:szCs w:val="20"/>
        </w:rPr>
        <w:t>modeled</w:t>
      </w:r>
      <w:proofErr w:type="spellEnd"/>
      <w:r w:rsidRPr="009B6508">
        <w:rPr>
          <w:rFonts w:ascii="Palatino Linotype" w:hAnsi="Palatino Linotype" w:cs="Palatino Linotype"/>
          <w:color w:val="231F20"/>
          <w:sz w:val="20"/>
          <w:szCs w:val="20"/>
        </w:rPr>
        <w:t xml:space="preserve"> based on a physiological approach that accounts for the fact that the bulk of reduced N present in leaves is associated with photosynthesis structures and enzymes (</w:t>
      </w:r>
      <w:proofErr w:type="spellStart"/>
      <w:r w:rsidRPr="009B6508">
        <w:rPr>
          <w:rFonts w:ascii="Palatino Linotype" w:hAnsi="Palatino Linotype" w:cs="Palatino Linotype"/>
          <w:color w:val="231F20"/>
          <w:sz w:val="20"/>
          <w:szCs w:val="20"/>
        </w:rPr>
        <w:t>Grindlay</w:t>
      </w:r>
      <w:proofErr w:type="spellEnd"/>
      <w:r w:rsidRPr="009B6508">
        <w:rPr>
          <w:rFonts w:ascii="Palatino Linotype" w:hAnsi="Palatino Linotype" w:cs="Palatino Linotype"/>
          <w:color w:val="231F20"/>
          <w:sz w:val="20"/>
          <w:szCs w:val="20"/>
        </w:rPr>
        <w:t xml:space="preserve">, 1997) (Fig. 1b). The rate of light-saturated net photosynthesis has been shown to be a linear function of the amount of leaf N per unit leaf area (specific leaf nitrogen [SLN]), until a species- specific maximum rate of photosynthesis has been reached (Sinclair and </w:t>
      </w:r>
      <w:proofErr w:type="spellStart"/>
      <w:r w:rsidRPr="009B6508">
        <w:rPr>
          <w:rFonts w:ascii="Palatino Linotype" w:hAnsi="Palatino Linotype" w:cs="Palatino Linotype"/>
          <w:color w:val="231F20"/>
          <w:sz w:val="20"/>
          <w:szCs w:val="20"/>
        </w:rPr>
        <w:t>Horie</w:t>
      </w:r>
      <w:proofErr w:type="spellEnd"/>
      <w:r w:rsidRPr="009B6508">
        <w:rPr>
          <w:rFonts w:ascii="Palatino Linotype" w:hAnsi="Palatino Linotype" w:cs="Palatino Linotype"/>
          <w:color w:val="231F20"/>
          <w:sz w:val="20"/>
          <w:szCs w:val="20"/>
        </w:rPr>
        <w:t xml:space="preserve">, 1989; </w:t>
      </w:r>
      <w:proofErr w:type="spellStart"/>
      <w:r w:rsidRPr="009B6508">
        <w:rPr>
          <w:rFonts w:ascii="Palatino Linotype" w:hAnsi="Palatino Linotype" w:cs="Palatino Linotype"/>
          <w:color w:val="231F20"/>
          <w:sz w:val="20"/>
          <w:szCs w:val="20"/>
        </w:rPr>
        <w:t>Anten</w:t>
      </w:r>
      <w:proofErr w:type="spellEnd"/>
      <w:r w:rsidRPr="009B6508">
        <w:rPr>
          <w:rFonts w:ascii="Palatino Linotype" w:hAnsi="Palatino Linotype" w:cs="Palatino Linotype"/>
          <w:color w:val="231F20"/>
          <w:sz w:val="20"/>
          <w:szCs w:val="20"/>
        </w:rPr>
        <w:t xml:space="preserve"> et al., 1995; </w:t>
      </w:r>
      <w:proofErr w:type="spellStart"/>
      <w:r w:rsidRPr="009B6508">
        <w:rPr>
          <w:rFonts w:ascii="Palatino Linotype" w:hAnsi="Palatino Linotype" w:cs="Palatino Linotype"/>
          <w:color w:val="231F20"/>
          <w:sz w:val="20"/>
          <w:szCs w:val="20"/>
        </w:rPr>
        <w:t>Grindlay</w:t>
      </w:r>
      <w:proofErr w:type="spellEnd"/>
      <w:r w:rsidRPr="009B6508">
        <w:rPr>
          <w:rFonts w:ascii="Palatino Linotype" w:hAnsi="Palatino Linotype" w:cs="Palatino Linotype"/>
          <w:color w:val="231F20"/>
          <w:sz w:val="20"/>
          <w:szCs w:val="20"/>
        </w:rPr>
        <w:t xml:space="preserve">, 1997). Expressing crop N demand relative to canopy expansion thus provides a physiological link between crop N status, light interception, and dry matter accumulation. In addition, the cardinal SLN values for new leaf growth and for leaf death in response to N deficiency are </w:t>
      </w:r>
      <w:proofErr w:type="spellStart"/>
      <w:r w:rsidRPr="009B6508">
        <w:rPr>
          <w:rFonts w:ascii="Palatino Linotype" w:hAnsi="Palatino Linotype" w:cs="Palatino Linotype"/>
          <w:color w:val="231F20"/>
          <w:sz w:val="20"/>
          <w:szCs w:val="20"/>
        </w:rPr>
        <w:t>indepen</w:t>
      </w:r>
      <w:proofErr w:type="spellEnd"/>
      <w:r w:rsidRPr="009B6508">
        <w:rPr>
          <w:rFonts w:ascii="Palatino Linotype" w:hAnsi="Palatino Linotype" w:cs="Palatino Linotype"/>
          <w:color w:val="231F20"/>
          <w:sz w:val="20"/>
          <w:szCs w:val="20"/>
        </w:rPr>
        <w:t>- dent of growth stage (van Oosterom et al., 2010a).</w:t>
      </w:r>
    </w:p>
    <w:p w:rsidR="009B6508" w:rsidRPr="009B6508" w:rsidRDefault="009B6508" w:rsidP="009B6508">
      <w:pPr>
        <w:kinsoku w:val="0"/>
        <w:overflowPunct w:val="0"/>
        <w:autoSpaceDE w:val="0"/>
        <w:autoSpaceDN w:val="0"/>
        <w:adjustRightInd w:val="0"/>
        <w:spacing w:before="9" w:after="0" w:line="218" w:lineRule="auto"/>
        <w:ind w:left="128" w:right="354" w:firstLine="358"/>
        <w:jc w:val="both"/>
        <w:rPr>
          <w:rFonts w:ascii="Palatino Linotype" w:hAnsi="Palatino Linotype" w:cs="Palatino Linotype"/>
          <w:color w:val="231F20"/>
          <w:sz w:val="20"/>
          <w:szCs w:val="20"/>
        </w:rPr>
      </w:pPr>
      <w:r w:rsidRPr="009B6508">
        <w:rPr>
          <w:rFonts w:ascii="Palatino Linotype" w:hAnsi="Palatino Linotype" w:cs="Palatino Linotype"/>
          <w:color w:val="231F20"/>
          <w:sz w:val="20"/>
          <w:szCs w:val="20"/>
        </w:rPr>
        <w:t xml:space="preserve">During the </w:t>
      </w:r>
      <w:proofErr w:type="spellStart"/>
      <w:r w:rsidRPr="009B6508">
        <w:rPr>
          <w:rFonts w:ascii="Palatino Linotype" w:hAnsi="Palatino Linotype" w:cs="Palatino Linotype"/>
          <w:color w:val="231F20"/>
          <w:sz w:val="20"/>
          <w:szCs w:val="20"/>
        </w:rPr>
        <w:t>preanthesis</w:t>
      </w:r>
      <w:proofErr w:type="spellEnd"/>
      <w:r w:rsidRPr="009B6508">
        <w:rPr>
          <w:rFonts w:ascii="Palatino Linotype" w:hAnsi="Palatino Linotype" w:cs="Palatino Linotype"/>
          <w:color w:val="231F20"/>
          <w:sz w:val="20"/>
          <w:szCs w:val="20"/>
        </w:rPr>
        <w:t xml:space="preserve"> period, only stems (including rachis) and leaves are expanding, and their N demand is met in a hierarchical fashion (van Oosterom et al., 2010a). First, structural N demand of the stem (and rachis) is met, as structural stem mass is required to support leaf growth. Structural stem N demand is rep- resented by the minimum stem N concentration. If insufficient N has been taken up to meet structural stem N requirement, N can be translocated from leaves by dilution or, in extreme cases of early season N deficiency, by leaf senescence. Second, the N demand of expanding new leaves will be met, and this is deter- mined from their critical SLN. Any additional N uptake will first be allocated to leaves to meet their target SLN and then to stem. For leaves, this N uptake rep- resents “luxury” uptake that can occur after full expansion of a leaf, </w:t>
      </w:r>
      <w:r w:rsidRPr="009B6508">
        <w:rPr>
          <w:rFonts w:ascii="Palatino Linotype" w:hAnsi="Palatino Linotype" w:cs="Palatino Linotype"/>
          <w:color w:val="231F20"/>
          <w:sz w:val="20"/>
          <w:szCs w:val="20"/>
        </w:rPr>
        <w:lastRenderedPageBreak/>
        <w:t>and which does not affect growth and development (van Oos</w:t>
      </w:r>
      <w:r w:rsidRPr="00EF4306">
        <w:rPr>
          <w:rFonts w:ascii="Palatino Linotype" w:hAnsi="Palatino Linotype" w:cs="Palatino Linotype"/>
          <w:color w:val="231F20"/>
          <w:sz w:val="20"/>
          <w:szCs w:val="20"/>
        </w:rPr>
        <w:t>terom et al., 2010a). This hier</w:t>
      </w:r>
      <w:r w:rsidRPr="009B6508">
        <w:rPr>
          <w:rFonts w:ascii="Palatino Linotype" w:hAnsi="Palatino Linotype" w:cs="Palatino Linotype"/>
          <w:color w:val="231F20"/>
          <w:sz w:val="20"/>
          <w:szCs w:val="20"/>
        </w:rPr>
        <w:t xml:space="preserve">archical allocation of N is consistent with observations that under N stress a relatively larger proportion of N is allocated to the leaves (van Oosterom et al., 2010a). Hence, </w:t>
      </w:r>
      <w:proofErr w:type="spellStart"/>
      <w:r w:rsidRPr="009B6508">
        <w:rPr>
          <w:rFonts w:ascii="Palatino Linotype" w:hAnsi="Palatino Linotype" w:cs="Palatino Linotype"/>
          <w:color w:val="231F20"/>
          <w:sz w:val="20"/>
          <w:szCs w:val="20"/>
        </w:rPr>
        <w:t>preanthesis</w:t>
      </w:r>
      <w:proofErr w:type="spellEnd"/>
      <w:r w:rsidRPr="009B6508">
        <w:rPr>
          <w:rFonts w:ascii="Palatino Linotype" w:hAnsi="Palatino Linotype" w:cs="Palatino Linotype"/>
          <w:color w:val="231F20"/>
          <w:sz w:val="20"/>
          <w:szCs w:val="20"/>
        </w:rPr>
        <w:t xml:space="preserve"> N allocation ratios are a consequence of model dynamics, rather than a model input.</w:t>
      </w:r>
    </w:p>
    <w:p w:rsidR="009B6508" w:rsidRPr="009B6508" w:rsidRDefault="009B6508" w:rsidP="009B6508">
      <w:pPr>
        <w:kinsoku w:val="0"/>
        <w:overflowPunct w:val="0"/>
        <w:autoSpaceDE w:val="0"/>
        <w:autoSpaceDN w:val="0"/>
        <w:adjustRightInd w:val="0"/>
        <w:spacing w:before="9" w:after="0" w:line="218" w:lineRule="auto"/>
        <w:ind w:left="128" w:right="354" w:firstLine="358"/>
        <w:jc w:val="both"/>
        <w:rPr>
          <w:rFonts w:ascii="Palatino Linotype" w:hAnsi="Palatino Linotype" w:cs="Palatino Linotype"/>
          <w:color w:val="231F20"/>
          <w:sz w:val="20"/>
          <w:szCs w:val="20"/>
        </w:rPr>
      </w:pPr>
      <w:r w:rsidRPr="009B6508">
        <w:rPr>
          <w:rFonts w:ascii="Palatino Linotype" w:hAnsi="Palatino Linotype" w:cs="Palatino Linotype"/>
          <w:color w:val="231F20"/>
          <w:sz w:val="20"/>
          <w:szCs w:val="20"/>
        </w:rPr>
        <w:t xml:space="preserve">After </w:t>
      </w:r>
      <w:proofErr w:type="spellStart"/>
      <w:r w:rsidRPr="009B6508">
        <w:rPr>
          <w:rFonts w:ascii="Palatino Linotype" w:hAnsi="Palatino Linotype" w:cs="Palatino Linotype"/>
          <w:color w:val="231F20"/>
          <w:sz w:val="20"/>
          <w:szCs w:val="20"/>
        </w:rPr>
        <w:t>anthesis</w:t>
      </w:r>
      <w:proofErr w:type="spellEnd"/>
      <w:r w:rsidRPr="009B6508">
        <w:rPr>
          <w:rFonts w:ascii="Palatino Linotype" w:hAnsi="Palatino Linotype" w:cs="Palatino Linotype"/>
          <w:color w:val="231F20"/>
          <w:sz w:val="20"/>
          <w:szCs w:val="20"/>
        </w:rPr>
        <w:t>, grain becomes the major sink for N, and grain N demand is determined as the product of grain number and N demand per grain. During the first part of grain filling, N demand per grain is constant and independent of grain growth rate and N status of the crop (van Oosterom et al., 2010b). At this time endosperm cells are dividing, so that the accumulation of structural (metabolic) proteins in the grain is the key driver. During the second half of grain filling, grain N demand is linked with grain growth rate as cell division and simultaneous storage of carbohydrate and proteins assumes a greater role (</w:t>
      </w:r>
      <w:proofErr w:type="spellStart"/>
      <w:r w:rsidRPr="009B6508">
        <w:rPr>
          <w:rFonts w:ascii="Palatino Linotype" w:hAnsi="Palatino Linotype" w:cs="Palatino Linotype"/>
          <w:color w:val="231F20"/>
          <w:sz w:val="20"/>
          <w:szCs w:val="20"/>
        </w:rPr>
        <w:t>Martre</w:t>
      </w:r>
      <w:proofErr w:type="spellEnd"/>
      <w:r w:rsidRPr="009B6508">
        <w:rPr>
          <w:rFonts w:ascii="Palatino Linotype" w:hAnsi="Palatino Linotype" w:cs="Palatino Linotype"/>
          <w:color w:val="231F20"/>
          <w:sz w:val="20"/>
          <w:szCs w:val="20"/>
        </w:rPr>
        <w:t xml:space="preserve"> et al., 2006). Grain protein content can thus vary depending on the N supply–demand balance and the carbohydrate supply to the grain. Grain N demand is initially met through stem (plus rachis) N translocation, and if this becomes insufficient, then N translocation from leaf can occur. Maximum N translocation rates from</w:t>
      </w:r>
      <w:r w:rsidRPr="00EF4306">
        <w:rPr>
          <w:rFonts w:ascii="Palatino Linotype" w:hAnsi="Palatino Linotype" w:cs="Palatino Linotype"/>
          <w:color w:val="231F20"/>
          <w:sz w:val="20"/>
          <w:szCs w:val="20"/>
        </w:rPr>
        <w:t xml:space="preserve"> </w:t>
      </w:r>
      <w:r w:rsidRPr="009B6508">
        <w:rPr>
          <w:rFonts w:ascii="Palatino Linotype" w:hAnsi="Palatino Linotype" w:cs="Palatino Linotype"/>
          <w:color w:val="231F20"/>
          <w:sz w:val="20"/>
          <w:szCs w:val="20"/>
        </w:rPr>
        <w:t>stem and per unit leaf area are a function of the N status of these organs, so that sink demand determines the amount of leaf area that is senescing at any one time (van Oosterom et al., 2010b). The source regulation of N translocation follows a first-order kinetic relationship that is representative of enzyme activity. Leaf SLN thus declines to its structural (minimum) level, and the amount of leaf area senesced, in the absence of other factors that can affect senescence, such as water limitation and shading, depends on the N supply–demand balance.</w:t>
      </w:r>
    </w:p>
    <w:p w:rsidR="009B6508" w:rsidRPr="009B6508" w:rsidRDefault="009B6508" w:rsidP="009B6508">
      <w:pPr>
        <w:kinsoku w:val="0"/>
        <w:overflowPunct w:val="0"/>
        <w:autoSpaceDE w:val="0"/>
        <w:autoSpaceDN w:val="0"/>
        <w:adjustRightInd w:val="0"/>
        <w:spacing w:before="9" w:after="0" w:line="218" w:lineRule="auto"/>
        <w:ind w:left="128" w:right="354" w:firstLine="358"/>
        <w:jc w:val="both"/>
        <w:rPr>
          <w:rFonts w:ascii="Palatino Linotype" w:hAnsi="Palatino Linotype" w:cs="Palatino Linotype"/>
          <w:color w:val="231F20"/>
          <w:sz w:val="20"/>
          <w:szCs w:val="20"/>
        </w:rPr>
      </w:pPr>
      <w:r w:rsidRPr="009B6508">
        <w:rPr>
          <w:rFonts w:ascii="Palatino Linotype" w:hAnsi="Palatino Linotype" w:cs="Palatino Linotype"/>
          <w:color w:val="231F20"/>
          <w:sz w:val="20"/>
          <w:szCs w:val="20"/>
        </w:rPr>
        <w:t>The daily rate of crop N uptake is the minimum of demand for N by the crop and potential supply of N from the soil and senescing leaves, capped at a maxi- mum N uptake rate (van Oosterom et al., 2010a). Potential N supply from the soil depends on the available soil N through the profile and on the extent to which roots have explored the soil. N supply from the soil is calculated from the combi- nation of passive uptake, through mass flow of N taken up with the transpiration</w:t>
      </w:r>
      <w:r w:rsidRPr="00EF4306">
        <w:rPr>
          <w:rFonts w:ascii="Palatino Linotype" w:hAnsi="Palatino Linotype" w:cs="Palatino Linotype"/>
          <w:color w:val="231F20"/>
          <w:sz w:val="20"/>
          <w:szCs w:val="20"/>
        </w:rPr>
        <w:t xml:space="preserve"> (</w:t>
      </w:r>
      <w:r w:rsidRPr="009B6508">
        <w:rPr>
          <w:rFonts w:ascii="Palatino Linotype" w:hAnsi="Palatino Linotype" w:cs="Palatino Linotype"/>
          <w:color w:val="231F20"/>
          <w:sz w:val="20"/>
          <w:szCs w:val="20"/>
        </w:rPr>
        <w:t>Sel</w:t>
      </w:r>
      <w:r w:rsidRPr="00EF4306">
        <w:rPr>
          <w:rFonts w:ascii="Palatino Linotype" w:hAnsi="Palatino Linotype" w:cs="Palatino Linotype"/>
          <w:color w:val="231F20"/>
          <w:sz w:val="20"/>
          <w:szCs w:val="20"/>
        </w:rPr>
        <w:t>igman, 1987). Soil N transforma</w:t>
      </w:r>
      <w:r w:rsidRPr="009B6508">
        <w:rPr>
          <w:rFonts w:ascii="Palatino Linotype" w:hAnsi="Palatino Linotype" w:cs="Palatino Linotype"/>
          <w:color w:val="231F20"/>
          <w:sz w:val="20"/>
          <w:szCs w:val="20"/>
        </w:rPr>
        <w:t xml:space="preserve">tions and their </w:t>
      </w:r>
      <w:proofErr w:type="spellStart"/>
      <w:r w:rsidRPr="009B6508">
        <w:rPr>
          <w:rFonts w:ascii="Palatino Linotype" w:hAnsi="Palatino Linotype" w:cs="Palatino Linotype"/>
          <w:color w:val="231F20"/>
          <w:sz w:val="20"/>
          <w:szCs w:val="20"/>
        </w:rPr>
        <w:t>modeling</w:t>
      </w:r>
      <w:proofErr w:type="spellEnd"/>
      <w:r w:rsidRPr="009B6508">
        <w:rPr>
          <w:rFonts w:ascii="Palatino Linotype" w:hAnsi="Palatino Linotype" w:cs="Palatino Linotype"/>
          <w:color w:val="231F20"/>
          <w:sz w:val="20"/>
          <w:szCs w:val="20"/>
        </w:rPr>
        <w:t xml:space="preserve"> in APSIM have been detailed by Probert et al. (1998).</w:t>
      </w:r>
    </w:p>
    <w:p w:rsidR="00D350EC" w:rsidRPr="009B6508" w:rsidRDefault="00D350EC" w:rsidP="009B6508">
      <w:pPr>
        <w:kinsoku w:val="0"/>
        <w:overflowPunct w:val="0"/>
        <w:autoSpaceDE w:val="0"/>
        <w:autoSpaceDN w:val="0"/>
        <w:adjustRightInd w:val="0"/>
        <w:spacing w:before="9" w:after="0" w:line="218" w:lineRule="auto"/>
        <w:ind w:left="128" w:right="354" w:firstLine="358"/>
        <w:jc w:val="both"/>
        <w:rPr>
          <w:rFonts w:ascii="Palatino Linotype" w:hAnsi="Palatino Linotype" w:cs="Palatino Linotype"/>
          <w:color w:val="231F20"/>
          <w:sz w:val="18"/>
          <w:szCs w:val="18"/>
        </w:rPr>
      </w:pPr>
    </w:p>
    <w:p w:rsidR="009B6508" w:rsidRDefault="009B6508"/>
    <w:p w:rsidR="009B6508" w:rsidRDefault="005D67DB">
      <w:r w:rsidRPr="005D67DB">
        <w:lastRenderedPageBreak/>
        <w:drawing>
          <wp:inline distT="0" distB="0" distL="0" distR="0">
            <wp:extent cx="4114800" cy="391885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14800" cy="3918857"/>
                    </a:xfrm>
                    <a:prstGeom prst="rect">
                      <a:avLst/>
                    </a:prstGeom>
                    <a:noFill/>
                    <a:ln>
                      <a:noFill/>
                    </a:ln>
                  </pic:spPr>
                </pic:pic>
              </a:graphicData>
            </a:graphic>
          </wp:inline>
        </w:drawing>
      </w:r>
      <w:bookmarkStart w:id="0" w:name="_GoBack"/>
      <w:bookmarkEnd w:id="0"/>
    </w:p>
    <w:p w:rsidR="005D67DB" w:rsidRDefault="005D67DB"/>
    <w:p w:rsidR="009B6508" w:rsidRDefault="009B6508"/>
    <w:p w:rsidR="009B6508" w:rsidRPr="009B6508" w:rsidRDefault="009B6508" w:rsidP="009B6508">
      <w:pPr>
        <w:kinsoku w:val="0"/>
        <w:overflowPunct w:val="0"/>
        <w:autoSpaceDE w:val="0"/>
        <w:autoSpaceDN w:val="0"/>
        <w:adjustRightInd w:val="0"/>
        <w:spacing w:before="188" w:after="0" w:line="235" w:lineRule="auto"/>
        <w:ind w:left="269" w:right="157"/>
        <w:jc w:val="both"/>
        <w:rPr>
          <w:rFonts w:ascii="Arial" w:hAnsi="Arial" w:cs="Arial"/>
          <w:b/>
          <w:bCs/>
          <w:color w:val="231F20"/>
          <w:sz w:val="20"/>
          <w:szCs w:val="20"/>
        </w:rPr>
      </w:pPr>
      <w:r w:rsidRPr="00EF4306">
        <w:rPr>
          <w:rFonts w:ascii="Arial" w:hAnsi="Arial" w:cs="Arial"/>
          <w:b/>
          <w:bCs/>
          <w:color w:val="231F20"/>
          <w:sz w:val="20"/>
          <w:szCs w:val="20"/>
        </w:rPr>
        <w:t>F</w:t>
      </w:r>
      <w:r w:rsidRPr="009B6508">
        <w:rPr>
          <w:rFonts w:ascii="Arial" w:hAnsi="Arial" w:cs="Arial"/>
          <w:b/>
          <w:bCs/>
          <w:color w:val="231F20"/>
          <w:sz w:val="20"/>
          <w:szCs w:val="20"/>
        </w:rPr>
        <w:t xml:space="preserve">ig. 1. Schematic representation of crop growth and development dynamics (a) and crop nitrogen dynamics (b) in Agricultural Production System </w:t>
      </w:r>
      <w:proofErr w:type="spellStart"/>
      <w:r w:rsidRPr="009B6508">
        <w:rPr>
          <w:rFonts w:ascii="Arial" w:hAnsi="Arial" w:cs="Arial"/>
          <w:b/>
          <w:bCs/>
          <w:color w:val="231F20"/>
          <w:sz w:val="20"/>
          <w:szCs w:val="20"/>
        </w:rPr>
        <w:t>sIMulator</w:t>
      </w:r>
      <w:proofErr w:type="spellEnd"/>
      <w:r w:rsidRPr="009B6508">
        <w:rPr>
          <w:rFonts w:ascii="Arial" w:hAnsi="Arial" w:cs="Arial"/>
          <w:b/>
          <w:bCs/>
          <w:color w:val="231F20"/>
          <w:sz w:val="20"/>
          <w:szCs w:val="20"/>
        </w:rPr>
        <w:t xml:space="preserve"> (APSIM)- sorghum model. Connection points between the two schematics are shown by the shaded boxes. After Hammer et al. (2010). SLN, specific leaf nitrogen.</w:t>
      </w:r>
    </w:p>
    <w:p w:rsidR="009B6508" w:rsidRPr="009B6508" w:rsidRDefault="009B6508" w:rsidP="009B6508">
      <w:pPr>
        <w:kinsoku w:val="0"/>
        <w:overflowPunct w:val="0"/>
        <w:autoSpaceDE w:val="0"/>
        <w:autoSpaceDN w:val="0"/>
        <w:adjustRightInd w:val="0"/>
        <w:spacing w:after="0" w:line="240" w:lineRule="auto"/>
        <w:rPr>
          <w:rFonts w:ascii="Arial" w:hAnsi="Arial" w:cs="Arial"/>
          <w:b/>
          <w:bCs/>
          <w:sz w:val="20"/>
          <w:szCs w:val="20"/>
        </w:rPr>
      </w:pPr>
    </w:p>
    <w:p w:rsidR="009B6508" w:rsidRDefault="009B6508"/>
    <w:sectPr w:rsidR="009B6508" w:rsidSect="00EF4306">
      <w:type w:val="continuous"/>
      <w:pgSz w:w="8640" w:h="12960"/>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08"/>
    <w:rsid w:val="005D67DB"/>
    <w:rsid w:val="009B6508"/>
    <w:rsid w:val="00D350EC"/>
    <w:rsid w:val="00EF43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F635"/>
  <w15:chartTrackingRefBased/>
  <w15:docId w15:val="{2F255B83-D6CA-4AD6-90E2-456E8115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B6508"/>
    <w:pPr>
      <w:autoSpaceDE w:val="0"/>
      <w:autoSpaceDN w:val="0"/>
      <w:adjustRightInd w:val="0"/>
      <w:spacing w:before="122" w:after="0" w:line="240" w:lineRule="auto"/>
      <w:ind w:left="1206"/>
      <w:outlineLvl w:val="0"/>
    </w:pPr>
    <w:rPr>
      <w:rFonts w:ascii="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B6508"/>
    <w:rPr>
      <w:rFonts w:ascii="Century Gothic" w:hAnsi="Century Gothic" w:cs="Century Gothic"/>
    </w:rPr>
  </w:style>
  <w:style w:type="paragraph" w:styleId="BodyText">
    <w:name w:val="Body Text"/>
    <w:basedOn w:val="Normal"/>
    <w:link w:val="BodyTextChar"/>
    <w:uiPriority w:val="1"/>
    <w:qFormat/>
    <w:rsid w:val="009B6508"/>
    <w:pPr>
      <w:autoSpaceDE w:val="0"/>
      <w:autoSpaceDN w:val="0"/>
      <w:adjustRightInd w:val="0"/>
      <w:spacing w:after="0" w:line="240" w:lineRule="auto"/>
      <w:jc w:val="both"/>
    </w:pPr>
    <w:rPr>
      <w:rFonts w:ascii="Palatino Linotype" w:hAnsi="Palatino Linotype" w:cs="Palatino Linotype"/>
      <w:sz w:val="18"/>
      <w:szCs w:val="18"/>
    </w:rPr>
  </w:style>
  <w:style w:type="character" w:customStyle="1" w:styleId="BodyTextChar">
    <w:name w:val="Body Text Char"/>
    <w:basedOn w:val="DefaultParagraphFont"/>
    <w:link w:val="BodyText"/>
    <w:uiPriority w:val="1"/>
    <w:rsid w:val="009B6508"/>
    <w:rPr>
      <w:rFonts w:ascii="Palatino Linotype" w:hAnsi="Palatino Linotype" w:cs="Palatino Linotyp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Hammer</dc:creator>
  <cp:keywords/>
  <dc:description/>
  <cp:lastModifiedBy>Graeme Hammer</cp:lastModifiedBy>
  <cp:revision>3</cp:revision>
  <dcterms:created xsi:type="dcterms:W3CDTF">2019-03-26T06:20:00Z</dcterms:created>
  <dcterms:modified xsi:type="dcterms:W3CDTF">2019-03-26T06:32:00Z</dcterms:modified>
</cp:coreProperties>
</file>